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9A971" w14:textId="7A98AE87" w:rsidR="0090548A" w:rsidRPr="00DB0923" w:rsidRDefault="007B0FD1" w:rsidP="007B0FD1">
      <w:pPr>
        <w:tabs>
          <w:tab w:val="left" w:pos="1380"/>
          <w:tab w:val="right" w:pos="10800"/>
        </w:tabs>
        <w:spacing w:line="360" w:lineRule="auto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color w:val="4472C4" w:themeColor="accent5"/>
          <w:sz w:val="28"/>
          <w:szCs w:val="28"/>
        </w:rPr>
        <w:t xml:space="preserve">          </w:t>
      </w:r>
      <w:r w:rsidR="00D912A3">
        <w:rPr>
          <w:rFonts w:ascii="Arial" w:hAnsi="Arial"/>
          <w:b/>
          <w:color w:val="4472C4" w:themeColor="accent5"/>
          <w:sz w:val="28"/>
          <w:szCs w:val="28"/>
        </w:rPr>
        <w:t xml:space="preserve">                                                        </w:t>
      </w:r>
      <w:r w:rsidR="00D54689" w:rsidRPr="00DB0923">
        <w:rPr>
          <w:rFonts w:ascii="Arial" w:hAnsi="Arial"/>
          <w:b/>
          <w:sz w:val="28"/>
          <w:szCs w:val="28"/>
        </w:rPr>
        <w:t xml:space="preserve">BOARD </w:t>
      </w:r>
      <w:r w:rsidR="003D029E" w:rsidRPr="00DB0923">
        <w:rPr>
          <w:rFonts w:ascii="Arial" w:hAnsi="Arial"/>
          <w:b/>
          <w:sz w:val="28"/>
          <w:szCs w:val="28"/>
        </w:rPr>
        <w:t>MEETING MINUTES</w:t>
      </w:r>
    </w:p>
    <w:tbl>
      <w:tblPr>
        <w:tblStyle w:val="TableGrid"/>
        <w:tblpPr w:leftFromText="180" w:rightFromText="180" w:vertAnchor="text" w:horzAnchor="page" w:tblpX="5749" w:tblpY="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3780"/>
      </w:tblGrid>
      <w:tr w:rsidR="00D54689" w:rsidRPr="00EE5215" w14:paraId="1310C2A3" w14:textId="77777777" w:rsidTr="00F11E40">
        <w:trPr>
          <w:trHeight w:hRule="exact" w:val="331"/>
        </w:trPr>
        <w:tc>
          <w:tcPr>
            <w:tcW w:w="1987" w:type="dxa"/>
            <w:vAlign w:val="center"/>
          </w:tcPr>
          <w:p w14:paraId="2BC60235" w14:textId="74E24721" w:rsidR="00D54689" w:rsidRPr="001F6899" w:rsidRDefault="001F6899" w:rsidP="007B0FD1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    </w:t>
            </w:r>
            <w:r w:rsidR="00012DDB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D54689" w:rsidRPr="001F6899">
              <w:rPr>
                <w:rFonts w:ascii="Arial" w:hAnsi="Arial"/>
                <w:b/>
                <w:sz w:val="20"/>
                <w:szCs w:val="20"/>
              </w:rPr>
              <w:t>DATE:</w:t>
            </w:r>
          </w:p>
        </w:tc>
        <w:tc>
          <w:tcPr>
            <w:tcW w:w="3780" w:type="dxa"/>
            <w:vAlign w:val="center"/>
          </w:tcPr>
          <w:p w14:paraId="664F80E5" w14:textId="5033321B" w:rsidR="00D54689" w:rsidRPr="006C5E3F" w:rsidRDefault="00726C63" w:rsidP="00826FDB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>Tuesday</w:t>
            </w:r>
            <w:r w:rsidR="00D54689" w:rsidRPr="006C5E3F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, </w:t>
            </w:r>
            <w:r w:rsidR="00A01B08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March </w:t>
            </w:r>
            <w:r>
              <w:rPr>
                <w:rFonts w:ascii="Arial" w:hAnsi="Arial"/>
                <w:color w:val="000000" w:themeColor="text1"/>
                <w:sz w:val="20"/>
                <w:szCs w:val="20"/>
              </w:rPr>
              <w:t>2</w:t>
            </w:r>
            <w:r w:rsidR="00A01B08">
              <w:rPr>
                <w:rFonts w:ascii="Arial" w:hAnsi="Arial"/>
                <w:color w:val="000000" w:themeColor="text1"/>
                <w:sz w:val="20"/>
                <w:szCs w:val="20"/>
              </w:rPr>
              <w:t>6</w:t>
            </w:r>
            <w:r w:rsidR="007B0FD1" w:rsidRPr="006C5E3F">
              <w:rPr>
                <w:rFonts w:ascii="Arial" w:hAnsi="Arial"/>
                <w:color w:val="000000" w:themeColor="text1"/>
                <w:sz w:val="20"/>
                <w:szCs w:val="20"/>
              </w:rPr>
              <w:t>, 201</w:t>
            </w:r>
            <w:r w:rsidR="00A01B08">
              <w:rPr>
                <w:rFonts w:ascii="Arial" w:hAnsi="Arial"/>
                <w:color w:val="000000" w:themeColor="text1"/>
                <w:sz w:val="20"/>
                <w:szCs w:val="20"/>
              </w:rPr>
              <w:t>9</w:t>
            </w:r>
          </w:p>
        </w:tc>
      </w:tr>
      <w:tr w:rsidR="00D54689" w:rsidRPr="00EE5215" w14:paraId="219D82A1" w14:textId="77777777" w:rsidTr="00F11E40">
        <w:trPr>
          <w:trHeight w:hRule="exact" w:val="331"/>
        </w:trPr>
        <w:tc>
          <w:tcPr>
            <w:tcW w:w="1987" w:type="dxa"/>
            <w:vAlign w:val="center"/>
          </w:tcPr>
          <w:p w14:paraId="05079AD8" w14:textId="27CFA358" w:rsidR="00D54689" w:rsidRPr="001F6899" w:rsidRDefault="001F6899" w:rsidP="007B0FD1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      </w:t>
            </w:r>
            <w:r w:rsidR="00012DDB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D54689" w:rsidRPr="001F6899">
              <w:rPr>
                <w:rFonts w:ascii="Arial" w:hAnsi="Arial"/>
                <w:b/>
                <w:sz w:val="20"/>
                <w:szCs w:val="20"/>
              </w:rPr>
              <w:t>TIME:</w:t>
            </w:r>
          </w:p>
        </w:tc>
        <w:tc>
          <w:tcPr>
            <w:tcW w:w="3780" w:type="dxa"/>
            <w:vAlign w:val="center"/>
          </w:tcPr>
          <w:p w14:paraId="0FCC09B8" w14:textId="039B3663" w:rsidR="00D54689" w:rsidRPr="006C5E3F" w:rsidRDefault="00D54689" w:rsidP="00826FDB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6C5E3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1</w:t>
            </w:r>
            <w:r w:rsidR="00A01B08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0</w:t>
            </w:r>
            <w:r w:rsidRPr="006C5E3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:</w:t>
            </w:r>
            <w:r w:rsidR="00826FDB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0</w:t>
            </w:r>
            <w:r w:rsidR="00A01B08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0</w:t>
            </w:r>
            <w:r w:rsidRPr="006C5E3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="00826FDB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A</w:t>
            </w:r>
            <w:r w:rsidR="00CA69B6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.</w:t>
            </w:r>
            <w:r w:rsidRPr="006C5E3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M</w:t>
            </w:r>
            <w:r w:rsidR="00CA69B6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.</w:t>
            </w:r>
          </w:p>
        </w:tc>
      </w:tr>
      <w:tr w:rsidR="00D54689" w:rsidRPr="00EE5215" w14:paraId="411AACAE" w14:textId="77777777" w:rsidTr="00A84D5B">
        <w:trPr>
          <w:trHeight w:hRule="exact" w:val="963"/>
        </w:trPr>
        <w:tc>
          <w:tcPr>
            <w:tcW w:w="1987" w:type="dxa"/>
            <w:vAlign w:val="center"/>
          </w:tcPr>
          <w:p w14:paraId="1D62B059" w14:textId="77777777" w:rsidR="00D54689" w:rsidRDefault="001F6899" w:rsidP="007B0FD1">
            <w:pPr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LOCATION:</w:t>
            </w:r>
          </w:p>
          <w:p w14:paraId="112C62D0" w14:textId="77777777" w:rsidR="001F6899" w:rsidRDefault="001F6899" w:rsidP="007B0FD1">
            <w:pPr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32A92977" w14:textId="6E1405B8" w:rsidR="001F6899" w:rsidRPr="001F6899" w:rsidRDefault="001F6899" w:rsidP="007B0FD1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14:paraId="1CF7EEDE" w14:textId="25946827" w:rsidR="00A84D5B" w:rsidRPr="006C5E3F" w:rsidRDefault="007B0FD1" w:rsidP="00A84D5B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6C5E3F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Via Teleconference, </w:t>
            </w:r>
            <w:r w:rsidR="00F51501">
              <w:rPr>
                <w:rFonts w:ascii="Arial" w:hAnsi="Arial"/>
                <w:color w:val="000000" w:themeColor="text1"/>
                <w:sz w:val="20"/>
                <w:szCs w:val="20"/>
              </w:rPr>
              <w:t>G</w:t>
            </w:r>
            <w:r w:rsidRPr="006C5E3F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NPEC, </w:t>
            </w:r>
          </w:p>
          <w:p w14:paraId="565DC38B" w14:textId="36D9FE03" w:rsidR="00A84D5B" w:rsidRPr="006C5E3F" w:rsidRDefault="007B0FD1" w:rsidP="007B0FD1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6C5E3F">
              <w:rPr>
                <w:rFonts w:ascii="Arial" w:hAnsi="Arial"/>
                <w:color w:val="000000" w:themeColor="text1"/>
                <w:sz w:val="20"/>
                <w:szCs w:val="20"/>
              </w:rPr>
              <w:t>Tucker,</w:t>
            </w:r>
            <w:r w:rsidR="00A84D5B" w:rsidRPr="006C5E3F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GA</w:t>
            </w:r>
          </w:p>
          <w:p w14:paraId="1EA87EF1" w14:textId="4ED069DE" w:rsidR="00D54689" w:rsidRPr="006C5E3F" w:rsidRDefault="00D54689" w:rsidP="007B0FD1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</w:tbl>
    <w:p w14:paraId="7E2EC200" w14:textId="77777777" w:rsidR="00F51501" w:rsidRDefault="007B0FD1" w:rsidP="00EA2565">
      <w:pPr>
        <w:ind w:left="705"/>
        <w:rPr>
          <w:rFonts w:ascii="Arial" w:hAnsi="Arial"/>
          <w:b/>
          <w:color w:val="4472C4" w:themeColor="accent5"/>
          <w:sz w:val="28"/>
          <w:szCs w:val="28"/>
        </w:rPr>
      </w:pPr>
      <w:r>
        <w:rPr>
          <w:noProof/>
        </w:rPr>
        <w:drawing>
          <wp:inline distT="0" distB="0" distL="0" distR="0" wp14:anchorId="79EBC9D3" wp14:editId="4BA81326">
            <wp:extent cx="885825" cy="828675"/>
            <wp:effectExtent l="57150" t="57150" r="47625" b="476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D5B">
        <w:rPr>
          <w:rFonts w:ascii="Arial" w:hAnsi="Arial"/>
          <w:b/>
          <w:color w:val="4472C4" w:themeColor="accent5"/>
          <w:sz w:val="28"/>
          <w:szCs w:val="28"/>
        </w:rPr>
        <w:t xml:space="preserve">                       </w:t>
      </w:r>
      <w:r w:rsidR="00D912A3">
        <w:rPr>
          <w:rFonts w:ascii="Arial" w:hAnsi="Arial"/>
          <w:b/>
          <w:color w:val="4472C4" w:themeColor="accent5"/>
          <w:sz w:val="28"/>
          <w:szCs w:val="28"/>
        </w:rPr>
        <w:t xml:space="preserve"> </w:t>
      </w:r>
      <w:r w:rsidR="00A84D5B">
        <w:rPr>
          <w:rFonts w:ascii="Arial" w:hAnsi="Arial"/>
          <w:b/>
          <w:color w:val="4472C4" w:themeColor="accent5"/>
          <w:sz w:val="28"/>
          <w:szCs w:val="28"/>
        </w:rPr>
        <w:t xml:space="preserve">                               </w:t>
      </w:r>
      <w:r w:rsidR="00F51501">
        <w:rPr>
          <w:rFonts w:ascii="Arial" w:hAnsi="Arial"/>
          <w:b/>
          <w:color w:val="4472C4" w:themeColor="accent5"/>
          <w:sz w:val="28"/>
          <w:szCs w:val="28"/>
        </w:rPr>
        <w:t xml:space="preserve">     </w:t>
      </w:r>
    </w:p>
    <w:p w14:paraId="3EE960D0" w14:textId="04102B2D" w:rsidR="00EA2565" w:rsidRPr="00EA2565" w:rsidRDefault="00F51501" w:rsidP="00F51501">
      <w:pPr>
        <w:rPr>
          <w:rFonts w:ascii="Arial Narrow" w:hAnsi="Arial Narrow"/>
          <w:b/>
          <w:sz w:val="16"/>
          <w:szCs w:val="16"/>
        </w:rPr>
      </w:pPr>
      <w:r>
        <w:rPr>
          <w:rFonts w:ascii="Arial" w:hAnsi="Arial"/>
          <w:b/>
          <w:color w:val="4472C4" w:themeColor="accent5"/>
          <w:sz w:val="28"/>
          <w:szCs w:val="28"/>
        </w:rPr>
        <w:t xml:space="preserve">       </w:t>
      </w:r>
      <w:r>
        <w:rPr>
          <w:rFonts w:ascii="Arial Narrow" w:hAnsi="Arial Narrow"/>
          <w:b/>
          <w:sz w:val="16"/>
          <w:szCs w:val="16"/>
        </w:rPr>
        <w:t>Georgia</w:t>
      </w:r>
      <w:r w:rsidR="00FF759B">
        <w:rPr>
          <w:rFonts w:ascii="Arial Narrow" w:hAnsi="Arial Narrow"/>
          <w:b/>
          <w:sz w:val="16"/>
          <w:szCs w:val="16"/>
        </w:rPr>
        <w:t xml:space="preserve"> </w:t>
      </w:r>
      <w:r w:rsidR="00EA2565" w:rsidRPr="00EA2565">
        <w:rPr>
          <w:rFonts w:ascii="Arial Narrow" w:hAnsi="Arial Narrow"/>
          <w:b/>
          <w:sz w:val="16"/>
          <w:szCs w:val="16"/>
        </w:rPr>
        <w:t>Nonpublic Postsecondary</w:t>
      </w:r>
    </w:p>
    <w:p w14:paraId="4F654C72" w14:textId="28C9B58A" w:rsidR="00212482" w:rsidRDefault="003720E0" w:rsidP="00EA2565">
      <w:pPr>
        <w:spacing w:line="360" w:lineRule="auto"/>
        <w:ind w:left="720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</w:t>
      </w:r>
      <w:r w:rsidR="00F51501">
        <w:rPr>
          <w:rFonts w:ascii="Arial Narrow" w:hAnsi="Arial Narrow"/>
          <w:b/>
          <w:sz w:val="16"/>
          <w:szCs w:val="16"/>
        </w:rPr>
        <w:t xml:space="preserve">   </w:t>
      </w:r>
      <w:r w:rsidR="00EA2565" w:rsidRPr="00EA2565">
        <w:rPr>
          <w:rFonts w:ascii="Arial Narrow" w:hAnsi="Arial Narrow"/>
          <w:b/>
          <w:sz w:val="16"/>
          <w:szCs w:val="16"/>
        </w:rPr>
        <w:t>Education Commission</w:t>
      </w:r>
    </w:p>
    <w:p w14:paraId="0A200332" w14:textId="77777777" w:rsidR="00EA2565" w:rsidRDefault="00EA2565" w:rsidP="00EA2565">
      <w:pPr>
        <w:spacing w:line="360" w:lineRule="auto"/>
        <w:ind w:left="720"/>
        <w:rPr>
          <w:rFonts w:ascii="Arial Narrow" w:hAnsi="Arial Narrow"/>
          <w:b/>
          <w:sz w:val="16"/>
          <w:szCs w:val="16"/>
        </w:rPr>
      </w:pPr>
    </w:p>
    <w:p w14:paraId="2B7176D8" w14:textId="77777777" w:rsidR="00EA2565" w:rsidRPr="00EA2565" w:rsidRDefault="00EA2565" w:rsidP="00EA2565">
      <w:pPr>
        <w:spacing w:line="360" w:lineRule="auto"/>
        <w:ind w:left="720"/>
        <w:rPr>
          <w:rFonts w:ascii="Arial" w:hAnsi="Arial"/>
          <w:b/>
          <w:color w:val="4472C4" w:themeColor="accent5"/>
          <w:sz w:val="18"/>
          <w:szCs w:val="18"/>
        </w:rPr>
      </w:pPr>
    </w:p>
    <w:p w14:paraId="699B3156" w14:textId="77777777" w:rsidR="003003C9" w:rsidRPr="00EE5215" w:rsidRDefault="003003C9" w:rsidP="00C0292E">
      <w:pPr>
        <w:spacing w:line="360" w:lineRule="auto"/>
        <w:rPr>
          <w:rFonts w:ascii="Arial" w:hAnsi="Arial"/>
          <w:b/>
          <w:color w:val="4472C4" w:themeColor="accent5"/>
          <w:sz w:val="10"/>
          <w:szCs w:val="10"/>
        </w:rPr>
      </w:pPr>
    </w:p>
    <w:tbl>
      <w:tblPr>
        <w:tblStyle w:val="TableGrid"/>
        <w:tblW w:w="0" w:type="auto"/>
        <w:tblInd w:w="-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1857"/>
        <w:gridCol w:w="3208"/>
        <w:gridCol w:w="2412"/>
      </w:tblGrid>
      <w:tr w:rsidR="00F11E40" w:rsidRPr="00EE5215" w14:paraId="2DF28BB3" w14:textId="77777777" w:rsidTr="00A84D5B">
        <w:trPr>
          <w:trHeight w:hRule="exact" w:val="216"/>
        </w:trPr>
        <w:tc>
          <w:tcPr>
            <w:tcW w:w="2163" w:type="dxa"/>
            <w:vAlign w:val="center"/>
          </w:tcPr>
          <w:p w14:paraId="01C08E0E" w14:textId="77777777" w:rsidR="003003C9" w:rsidRPr="00EE5215" w:rsidRDefault="003003C9" w:rsidP="00F11E40">
            <w:pPr>
              <w:spacing w:line="360" w:lineRule="auto"/>
              <w:ind w:left="10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 w:rsidRPr="001F6899">
              <w:rPr>
                <w:rFonts w:ascii="Arial" w:hAnsi="Arial"/>
                <w:b/>
                <w:sz w:val="20"/>
                <w:szCs w:val="20"/>
              </w:rPr>
              <w:t>MEETING CHAIR:</w:t>
            </w:r>
          </w:p>
        </w:tc>
        <w:tc>
          <w:tcPr>
            <w:tcW w:w="2081" w:type="dxa"/>
            <w:vAlign w:val="center"/>
          </w:tcPr>
          <w:p w14:paraId="53167272" w14:textId="6EC8D44F" w:rsidR="003003C9" w:rsidRPr="006C5E3F" w:rsidRDefault="00A01B08" w:rsidP="00212482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>Holly Kirbo</w:t>
            </w:r>
          </w:p>
        </w:tc>
        <w:tc>
          <w:tcPr>
            <w:tcW w:w="3799" w:type="dxa"/>
            <w:vAlign w:val="center"/>
          </w:tcPr>
          <w:p w14:paraId="1F316492" w14:textId="5D629004" w:rsidR="003003C9" w:rsidRPr="006C5E3F" w:rsidRDefault="003003C9" w:rsidP="00D54689">
            <w:pPr>
              <w:spacing w:line="360" w:lineRule="auto"/>
              <w:ind w:left="-35"/>
              <w:rPr>
                <w:rFonts w:ascii="Arial" w:hAnsi="Arial"/>
                <w:color w:val="5B9BD5" w:themeColor="accent1"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44EC07C3" w14:textId="07297B0F" w:rsidR="003003C9" w:rsidRPr="006C5E3F" w:rsidRDefault="003003C9" w:rsidP="00736036">
            <w:pPr>
              <w:spacing w:line="360" w:lineRule="auto"/>
              <w:ind w:left="-35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F11E40" w:rsidRPr="00EE5215" w14:paraId="0D28FD8C" w14:textId="77777777" w:rsidTr="00D912A3">
        <w:trPr>
          <w:trHeight w:hRule="exact" w:val="50"/>
        </w:trPr>
        <w:tc>
          <w:tcPr>
            <w:tcW w:w="2163" w:type="dxa"/>
            <w:vAlign w:val="center"/>
          </w:tcPr>
          <w:p w14:paraId="4CE60CEC" w14:textId="6EE991E6" w:rsidR="00736036" w:rsidRPr="00EE5215" w:rsidRDefault="00736036" w:rsidP="00212482">
            <w:pPr>
              <w:rPr>
                <w:rFonts w:ascii="Arial" w:hAnsi="Arial"/>
                <w:b/>
                <w:color w:val="5B9BD5" w:themeColor="accent1"/>
                <w:sz w:val="20"/>
                <w:szCs w:val="20"/>
              </w:rPr>
            </w:pPr>
          </w:p>
        </w:tc>
        <w:tc>
          <w:tcPr>
            <w:tcW w:w="2081" w:type="dxa"/>
            <w:vAlign w:val="center"/>
          </w:tcPr>
          <w:p w14:paraId="308A8ABC" w14:textId="35B3ACC5" w:rsidR="00736036" w:rsidRPr="006C5E3F" w:rsidRDefault="00736036" w:rsidP="00C0292E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99" w:type="dxa"/>
            <w:vAlign w:val="center"/>
          </w:tcPr>
          <w:p w14:paraId="4DF90F56" w14:textId="76E7CD16" w:rsidR="00736036" w:rsidRPr="006C5E3F" w:rsidRDefault="00736036" w:rsidP="00736036">
            <w:pPr>
              <w:spacing w:line="360" w:lineRule="auto"/>
              <w:ind w:left="-35"/>
              <w:rPr>
                <w:rFonts w:ascii="Arial" w:hAnsi="Arial"/>
                <w:color w:val="5B9BD5" w:themeColor="accent1"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66CE2331" w14:textId="293BD1AE" w:rsidR="00736036" w:rsidRPr="006C5E3F" w:rsidRDefault="00736036" w:rsidP="00736036">
            <w:pPr>
              <w:spacing w:line="360" w:lineRule="auto"/>
              <w:ind w:left="-35"/>
              <w:rPr>
                <w:rFonts w:ascii="Arial" w:hAnsi="Arial"/>
                <w:color w:val="5B9BD5" w:themeColor="accent1"/>
                <w:sz w:val="20"/>
                <w:szCs w:val="20"/>
              </w:rPr>
            </w:pPr>
          </w:p>
        </w:tc>
      </w:tr>
      <w:tr w:rsidR="00F11E40" w:rsidRPr="00EE5215" w14:paraId="15114F61" w14:textId="77777777" w:rsidTr="00BA0ED7">
        <w:trPr>
          <w:trHeight w:hRule="exact" w:val="405"/>
        </w:trPr>
        <w:tc>
          <w:tcPr>
            <w:tcW w:w="2163" w:type="dxa"/>
            <w:vAlign w:val="center"/>
          </w:tcPr>
          <w:p w14:paraId="7893A92A" w14:textId="77777777" w:rsidR="003003C9" w:rsidRPr="00EE5215" w:rsidRDefault="003003C9" w:rsidP="00F11E40">
            <w:pPr>
              <w:spacing w:line="360" w:lineRule="auto"/>
              <w:ind w:left="10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 w:rsidRPr="001F6899">
              <w:rPr>
                <w:rFonts w:ascii="Arial" w:hAnsi="Arial"/>
                <w:b/>
                <w:sz w:val="20"/>
                <w:szCs w:val="20"/>
              </w:rPr>
              <w:t>MEETING TITLE:</w:t>
            </w:r>
          </w:p>
        </w:tc>
        <w:tc>
          <w:tcPr>
            <w:tcW w:w="8727" w:type="dxa"/>
            <w:gridSpan w:val="3"/>
            <w:vAlign w:val="center"/>
          </w:tcPr>
          <w:p w14:paraId="2FD44B86" w14:textId="56140899" w:rsidR="00D912A3" w:rsidRPr="006C5E3F" w:rsidRDefault="00826FDB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 xml:space="preserve">Special Called </w:t>
            </w:r>
            <w:r w:rsidR="0022099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 xml:space="preserve">Commission </w:t>
            </w:r>
            <w: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 xml:space="preserve">Meeting </w:t>
            </w:r>
            <w:r w:rsidR="0022099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="00726C63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SIFT Appea</w:t>
            </w:r>
            <w:r w:rsidR="00E17E50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l Discussion Continued</w:t>
            </w:r>
          </w:p>
          <w:p w14:paraId="61CA9CAA" w14:textId="34E900A6" w:rsidR="00727646" w:rsidRPr="006C5E3F" w:rsidRDefault="00727646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69CAA071" w14:textId="77777777" w:rsidR="00727646" w:rsidRPr="006C5E3F" w:rsidRDefault="00727646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1FB48412" w14:textId="77777777" w:rsidR="00727646" w:rsidRPr="006C5E3F" w:rsidRDefault="00727646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17CCD277" w14:textId="27B2EF1B" w:rsidR="00A84D5B" w:rsidRPr="006C5E3F" w:rsidRDefault="00A84D5B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168BAA6A" w14:textId="0715628D" w:rsidR="00A84D5B" w:rsidRPr="006C5E3F" w:rsidRDefault="00A84D5B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5A727DFC" w14:textId="77777777" w:rsidR="00A84D5B" w:rsidRPr="006C5E3F" w:rsidRDefault="00A84D5B" w:rsidP="00A84D5B">
            <w:pP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E43642D" w14:textId="3A66D602" w:rsidR="00A84D5B" w:rsidRPr="006C5E3F" w:rsidRDefault="00A84D5B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162CE565" w14:textId="5368FEED" w:rsidR="00A84D5B" w:rsidRPr="006C5E3F" w:rsidRDefault="00A84D5B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7E089C84" w14:textId="77777777" w:rsidR="00A84D5B" w:rsidRPr="006C5E3F" w:rsidRDefault="00A84D5B" w:rsidP="00A84D5B">
            <w:pPr>
              <w:spacing w:line="48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0D83EBDE" w14:textId="18FC5747" w:rsidR="00212482" w:rsidRPr="006C5E3F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23ACF80A" w14:textId="3DB468C8" w:rsidR="00212482" w:rsidRPr="006C5E3F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4D248FA1" w14:textId="0EA6FE90" w:rsidR="00212482" w:rsidRPr="006C5E3F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780A371" w14:textId="5D0B0AAE" w:rsidR="00212482" w:rsidRPr="006C5E3F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0BA58CE1" w14:textId="691A5B25" w:rsidR="00212482" w:rsidRPr="006C5E3F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3277841" w14:textId="0C3D18FA" w:rsidR="00212482" w:rsidRPr="006C5E3F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1EF3ED9D" w14:textId="0EEF5BC2" w:rsidR="00212482" w:rsidRPr="006C5E3F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0F9FCC0A" w14:textId="77777777" w:rsidR="00212482" w:rsidRPr="006C5E3F" w:rsidRDefault="00212482" w:rsidP="00212482">
            <w:pP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0C138F2F" w14:textId="6568BB24" w:rsidR="00212482" w:rsidRPr="006C5E3F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7DE02F56" w14:textId="1C84FF97" w:rsidR="00212482" w:rsidRPr="006C5E3F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54DF562" w14:textId="0ACB8CEB" w:rsidR="00212482" w:rsidRPr="006C5E3F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DE9BE75" w14:textId="4B3C52FD" w:rsidR="00212482" w:rsidRPr="006C5E3F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64488E7F" w14:textId="4E8F8F21" w:rsidR="00212482" w:rsidRPr="006C5E3F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7472BB87" w14:textId="77777777" w:rsidR="00212482" w:rsidRPr="006C5E3F" w:rsidRDefault="00212482" w:rsidP="00212482">
            <w:pPr>
              <w:spacing w:line="48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FF0061C" w14:textId="76274180" w:rsidR="00212482" w:rsidRPr="006C5E3F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5B08C9D4" w14:textId="77777777" w:rsidR="00212482" w:rsidRPr="006C5E3F" w:rsidRDefault="00212482" w:rsidP="00212482">
            <w:pP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53CDB122" w14:textId="22EEB0CE" w:rsidR="00212482" w:rsidRPr="006C5E3F" w:rsidRDefault="00212482" w:rsidP="00F3249E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</w:tbl>
    <w:p w14:paraId="3083D3CA" w14:textId="77777777" w:rsidR="00711491" w:rsidRDefault="00711491" w:rsidP="00736036">
      <w:pPr>
        <w:tabs>
          <w:tab w:val="left" w:pos="3040"/>
        </w:tabs>
        <w:spacing w:line="360" w:lineRule="auto"/>
        <w:rPr>
          <w:rFonts w:ascii="Arial" w:hAnsi="Arial"/>
          <w:b/>
          <w:sz w:val="20"/>
          <w:szCs w:val="20"/>
        </w:rPr>
      </w:pPr>
    </w:p>
    <w:p w14:paraId="541EF08A" w14:textId="0186EECD" w:rsidR="00736036" w:rsidRDefault="00727646" w:rsidP="0022099F">
      <w:pPr>
        <w:tabs>
          <w:tab w:val="left" w:pos="3040"/>
        </w:tabs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MEMBERS</w:t>
      </w:r>
      <w:r w:rsidR="00736036" w:rsidRPr="001F6899">
        <w:rPr>
          <w:rFonts w:ascii="Arial" w:hAnsi="Arial"/>
          <w:b/>
          <w:sz w:val="20"/>
          <w:szCs w:val="20"/>
        </w:rPr>
        <w:t xml:space="preserve"> PRESENT:</w:t>
      </w:r>
    </w:p>
    <w:p w14:paraId="3B30F30A" w14:textId="55F70E46" w:rsidR="00212482" w:rsidRPr="006C5E3F" w:rsidRDefault="00A01B08" w:rsidP="008047D5">
      <w:pPr>
        <w:tabs>
          <w:tab w:val="left" w:pos="30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Holly Kirbo</w:t>
      </w:r>
      <w:r w:rsidR="00AF36CA" w:rsidRPr="006C5E3F">
        <w:rPr>
          <w:rFonts w:ascii="Arial" w:hAnsi="Arial"/>
          <w:sz w:val="20"/>
          <w:szCs w:val="20"/>
        </w:rPr>
        <w:t xml:space="preserve">, </w:t>
      </w:r>
      <w:r w:rsidR="00AF36CA" w:rsidRPr="006C5E3F">
        <w:rPr>
          <w:rFonts w:ascii="Arial" w:hAnsi="Arial"/>
          <w:b/>
          <w:sz w:val="20"/>
          <w:szCs w:val="20"/>
        </w:rPr>
        <w:t>Chair</w:t>
      </w:r>
      <w:r w:rsidR="00D00ABB" w:rsidRPr="006C5E3F">
        <w:rPr>
          <w:rFonts w:ascii="Arial" w:hAnsi="Arial"/>
          <w:sz w:val="20"/>
          <w:szCs w:val="20"/>
        </w:rPr>
        <w:tab/>
      </w:r>
    </w:p>
    <w:p w14:paraId="5FE88E56" w14:textId="07C5FF72" w:rsidR="00212482" w:rsidRPr="006C5E3F" w:rsidRDefault="00A01B08" w:rsidP="008047D5">
      <w:pPr>
        <w:tabs>
          <w:tab w:val="left" w:pos="30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Mollie Cohen</w:t>
      </w:r>
      <w:r w:rsidR="00AF36CA" w:rsidRPr="006C5E3F">
        <w:rPr>
          <w:rFonts w:ascii="Arial" w:hAnsi="Arial"/>
          <w:sz w:val="20"/>
          <w:szCs w:val="20"/>
        </w:rPr>
        <w:t xml:space="preserve">, </w:t>
      </w:r>
      <w:r w:rsidR="00AF36CA" w:rsidRPr="006C5E3F">
        <w:rPr>
          <w:rFonts w:ascii="Arial" w:hAnsi="Arial"/>
          <w:b/>
          <w:sz w:val="20"/>
          <w:szCs w:val="20"/>
        </w:rPr>
        <w:t>Vice Chair</w:t>
      </w:r>
      <w:r w:rsidR="00D00ABB" w:rsidRPr="006C5E3F">
        <w:rPr>
          <w:rFonts w:ascii="Arial" w:hAnsi="Arial"/>
          <w:sz w:val="20"/>
          <w:szCs w:val="20"/>
        </w:rPr>
        <w:tab/>
      </w:r>
      <w:r w:rsidR="008A006F" w:rsidRPr="006C5E3F">
        <w:rPr>
          <w:rFonts w:ascii="Arial" w:hAnsi="Arial"/>
          <w:sz w:val="20"/>
          <w:szCs w:val="20"/>
        </w:rPr>
        <w:t xml:space="preserve"> </w:t>
      </w:r>
      <w:r w:rsidR="00D5724E" w:rsidRPr="006C5E3F">
        <w:rPr>
          <w:rFonts w:ascii="Arial" w:hAnsi="Arial"/>
          <w:sz w:val="20"/>
          <w:szCs w:val="20"/>
        </w:rPr>
        <w:t xml:space="preserve"> </w:t>
      </w:r>
    </w:p>
    <w:p w14:paraId="2B6010E1" w14:textId="77777777" w:rsidR="00726C63" w:rsidRDefault="00D5724E" w:rsidP="008047D5">
      <w:pPr>
        <w:tabs>
          <w:tab w:val="left" w:pos="3040"/>
        </w:tabs>
        <w:rPr>
          <w:rFonts w:ascii="Arial" w:hAnsi="Arial"/>
          <w:sz w:val="20"/>
          <w:szCs w:val="20"/>
        </w:rPr>
      </w:pPr>
      <w:r w:rsidRPr="006C5E3F">
        <w:rPr>
          <w:rFonts w:ascii="Arial" w:hAnsi="Arial"/>
          <w:sz w:val="20"/>
          <w:szCs w:val="20"/>
        </w:rPr>
        <w:t>Lee Todd</w:t>
      </w:r>
    </w:p>
    <w:p w14:paraId="49A9CF05" w14:textId="733B4020" w:rsidR="00D5724E" w:rsidRPr="006C5E3F" w:rsidRDefault="00726C63" w:rsidP="008047D5">
      <w:pPr>
        <w:tabs>
          <w:tab w:val="left" w:pos="30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Victoria Agyekum</w:t>
      </w:r>
      <w:r w:rsidR="00D5724E" w:rsidRPr="006C5E3F">
        <w:rPr>
          <w:rFonts w:ascii="Arial" w:hAnsi="Arial"/>
          <w:sz w:val="20"/>
          <w:szCs w:val="20"/>
        </w:rPr>
        <w:tab/>
        <w:t xml:space="preserve">  </w:t>
      </w:r>
    </w:p>
    <w:p w14:paraId="0565CB27" w14:textId="54C00271" w:rsidR="00D5724E" w:rsidRPr="006C5E3F" w:rsidRDefault="00726C63" w:rsidP="008047D5">
      <w:pPr>
        <w:tabs>
          <w:tab w:val="left" w:pos="30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Amanda Shailendra</w:t>
      </w:r>
      <w:r w:rsidR="00D5724E" w:rsidRPr="006C5E3F">
        <w:rPr>
          <w:rFonts w:ascii="Arial" w:hAnsi="Arial"/>
          <w:sz w:val="20"/>
          <w:szCs w:val="20"/>
        </w:rPr>
        <w:tab/>
        <w:t xml:space="preserve">  </w:t>
      </w:r>
    </w:p>
    <w:p w14:paraId="745A7D83" w14:textId="22E75CC9" w:rsidR="00D5724E" w:rsidRPr="006C5E3F" w:rsidRDefault="00D16B53" w:rsidP="008047D5">
      <w:pPr>
        <w:tabs>
          <w:tab w:val="left" w:pos="30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Toby Hinton</w:t>
      </w:r>
      <w:r>
        <w:rPr>
          <w:rFonts w:ascii="Arial" w:hAnsi="Arial"/>
          <w:sz w:val="20"/>
          <w:szCs w:val="20"/>
        </w:rPr>
        <w:tab/>
        <w:t xml:space="preserve">  </w:t>
      </w:r>
    </w:p>
    <w:p w14:paraId="15812F78" w14:textId="14107E7B" w:rsidR="00D16B53" w:rsidRPr="006C5E3F" w:rsidRDefault="00D16B53" w:rsidP="008047D5">
      <w:pPr>
        <w:tabs>
          <w:tab w:val="left" w:pos="30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Ryan </w:t>
      </w:r>
      <w:r w:rsidR="00A01B08">
        <w:rPr>
          <w:rFonts w:ascii="Arial" w:hAnsi="Arial"/>
          <w:sz w:val="20"/>
          <w:szCs w:val="20"/>
        </w:rPr>
        <w:t>Blythe</w:t>
      </w:r>
      <w:r>
        <w:rPr>
          <w:rFonts w:ascii="Arial" w:hAnsi="Arial"/>
          <w:sz w:val="20"/>
          <w:szCs w:val="20"/>
        </w:rPr>
        <w:tab/>
      </w:r>
    </w:p>
    <w:p w14:paraId="4955D7F2" w14:textId="614FC2B5" w:rsidR="00D5724E" w:rsidRPr="006C5E3F" w:rsidRDefault="008047D5" w:rsidP="008047D5">
      <w:pPr>
        <w:tabs>
          <w:tab w:val="left" w:pos="3040"/>
        </w:tabs>
        <w:rPr>
          <w:rFonts w:ascii="Arial" w:hAnsi="Arial"/>
          <w:sz w:val="20"/>
          <w:szCs w:val="20"/>
        </w:rPr>
      </w:pPr>
      <w:r w:rsidRPr="006C5E3F">
        <w:rPr>
          <w:rFonts w:ascii="Arial" w:hAnsi="Arial"/>
          <w:sz w:val="20"/>
          <w:szCs w:val="20"/>
        </w:rPr>
        <w:t>Karen Gilbert</w:t>
      </w:r>
      <w:r w:rsidRPr="006C5E3F">
        <w:rPr>
          <w:rFonts w:ascii="Arial" w:hAnsi="Arial"/>
          <w:sz w:val="20"/>
          <w:szCs w:val="20"/>
        </w:rPr>
        <w:tab/>
      </w:r>
    </w:p>
    <w:p w14:paraId="091DC69A" w14:textId="7AB75C2D" w:rsidR="00D5724E" w:rsidRPr="006C5E3F" w:rsidRDefault="008047D5" w:rsidP="008047D5">
      <w:pPr>
        <w:tabs>
          <w:tab w:val="left" w:pos="3040"/>
        </w:tabs>
        <w:rPr>
          <w:rFonts w:ascii="Arial" w:hAnsi="Arial"/>
          <w:b/>
          <w:sz w:val="20"/>
          <w:szCs w:val="20"/>
        </w:rPr>
      </w:pPr>
      <w:r w:rsidRPr="006C5E3F">
        <w:rPr>
          <w:rFonts w:ascii="Arial" w:hAnsi="Arial"/>
          <w:b/>
          <w:sz w:val="20"/>
          <w:szCs w:val="20"/>
        </w:rPr>
        <w:t>VACANT</w:t>
      </w:r>
      <w:r w:rsidRPr="006C5E3F">
        <w:rPr>
          <w:rFonts w:ascii="Arial" w:hAnsi="Arial"/>
          <w:b/>
          <w:sz w:val="20"/>
          <w:szCs w:val="20"/>
        </w:rPr>
        <w:tab/>
      </w:r>
    </w:p>
    <w:p w14:paraId="733EE227" w14:textId="7E1E6329" w:rsidR="00581F85" w:rsidRPr="006C5E3F" w:rsidRDefault="008047D5" w:rsidP="008047D5">
      <w:pPr>
        <w:tabs>
          <w:tab w:val="left" w:pos="3040"/>
        </w:tabs>
        <w:rPr>
          <w:rFonts w:ascii="Arial" w:hAnsi="Arial"/>
          <w:sz w:val="20"/>
          <w:szCs w:val="20"/>
        </w:rPr>
      </w:pPr>
      <w:r w:rsidRPr="006C5E3F">
        <w:rPr>
          <w:rFonts w:ascii="Arial" w:hAnsi="Arial"/>
          <w:sz w:val="20"/>
          <w:szCs w:val="20"/>
        </w:rPr>
        <w:tab/>
      </w:r>
    </w:p>
    <w:p w14:paraId="0A257AB5" w14:textId="77777777" w:rsidR="00D5724E" w:rsidRPr="00D5724E" w:rsidRDefault="00D5724E" w:rsidP="00D5724E">
      <w:pPr>
        <w:tabs>
          <w:tab w:val="left" w:pos="3040"/>
        </w:tabs>
        <w:rPr>
          <w:rFonts w:ascii="Arial" w:hAnsi="Arial"/>
          <w:sz w:val="20"/>
          <w:szCs w:val="20"/>
        </w:rPr>
      </w:pPr>
    </w:p>
    <w:p w14:paraId="43694D73" w14:textId="1372A86B" w:rsidR="00212482" w:rsidRDefault="00727646" w:rsidP="0042388E">
      <w:pPr>
        <w:tabs>
          <w:tab w:val="left" w:pos="3040"/>
        </w:tabs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MEMBERS</w:t>
      </w:r>
      <w:r w:rsidR="00212482" w:rsidRPr="001F6899">
        <w:rPr>
          <w:rFonts w:ascii="Arial" w:hAnsi="Arial"/>
          <w:b/>
          <w:sz w:val="20"/>
          <w:szCs w:val="20"/>
        </w:rPr>
        <w:t xml:space="preserve"> </w:t>
      </w:r>
      <w:r w:rsidR="00212482">
        <w:rPr>
          <w:rFonts w:ascii="Arial" w:hAnsi="Arial"/>
          <w:b/>
          <w:sz w:val="20"/>
          <w:szCs w:val="20"/>
        </w:rPr>
        <w:t>ABSENT</w:t>
      </w:r>
      <w:r w:rsidR="00212482" w:rsidRPr="001F6899">
        <w:rPr>
          <w:rFonts w:ascii="Arial" w:hAnsi="Arial"/>
          <w:b/>
          <w:sz w:val="20"/>
          <w:szCs w:val="20"/>
        </w:rPr>
        <w:t>:</w:t>
      </w:r>
    </w:p>
    <w:p w14:paraId="3D7086CD" w14:textId="4CD3D889" w:rsidR="00826FDB" w:rsidRPr="006C5E3F" w:rsidRDefault="00726C63" w:rsidP="00826FDB">
      <w:pPr>
        <w:tabs>
          <w:tab w:val="left" w:pos="30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Dr. Arthur Vaughn</w:t>
      </w:r>
      <w:r w:rsidR="00826FDB" w:rsidRPr="006C5E3F">
        <w:rPr>
          <w:rFonts w:ascii="Arial" w:hAnsi="Arial"/>
          <w:sz w:val="20"/>
          <w:szCs w:val="20"/>
        </w:rPr>
        <w:tab/>
        <w:t xml:space="preserve">  </w:t>
      </w:r>
    </w:p>
    <w:p w14:paraId="20F03287" w14:textId="0358C8D8" w:rsidR="00826FDB" w:rsidRDefault="00726C63" w:rsidP="00826FDB">
      <w:pPr>
        <w:tabs>
          <w:tab w:val="left" w:pos="30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Norma Nunez-Cortes</w:t>
      </w:r>
      <w:r w:rsidR="00826FDB" w:rsidRPr="006C5E3F">
        <w:rPr>
          <w:rFonts w:ascii="Arial" w:hAnsi="Arial"/>
          <w:sz w:val="20"/>
          <w:szCs w:val="20"/>
        </w:rPr>
        <w:tab/>
        <w:t xml:space="preserve">  </w:t>
      </w:r>
    </w:p>
    <w:p w14:paraId="6DFACF0F" w14:textId="77777777" w:rsidR="0055233D" w:rsidRDefault="0055233D" w:rsidP="0055233D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sz w:val="20"/>
          <w:szCs w:val="20"/>
        </w:rPr>
      </w:pPr>
    </w:p>
    <w:p w14:paraId="335B0971" w14:textId="55C2BA56" w:rsidR="00A01C77" w:rsidRDefault="00711491" w:rsidP="00711491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STAFF PRESENT:</w:t>
      </w:r>
    </w:p>
    <w:p w14:paraId="4F7308AB" w14:textId="3ED66D7D" w:rsidR="00711491" w:rsidRDefault="00A01B08" w:rsidP="00711491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Kirk Shook</w:t>
      </w:r>
      <w:r w:rsidR="00711491">
        <w:rPr>
          <w:rFonts w:ascii="Arial" w:hAnsi="Arial"/>
          <w:sz w:val="20"/>
          <w:szCs w:val="20"/>
        </w:rPr>
        <w:tab/>
        <w:t>Executive Director</w:t>
      </w:r>
    </w:p>
    <w:p w14:paraId="694E11DC" w14:textId="7DF37FB4" w:rsidR="00711491" w:rsidRDefault="00711491" w:rsidP="00711491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Dr. Laura Vieth</w:t>
      </w:r>
      <w:r>
        <w:rPr>
          <w:rFonts w:ascii="Arial" w:hAnsi="Arial"/>
          <w:sz w:val="20"/>
          <w:szCs w:val="20"/>
        </w:rPr>
        <w:tab/>
        <w:t>Deputy Director</w:t>
      </w:r>
    </w:p>
    <w:p w14:paraId="0177169B" w14:textId="503F06AF" w:rsidR="00711491" w:rsidRDefault="00711491" w:rsidP="00711491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Shirlene Mitchell</w:t>
      </w:r>
      <w:r>
        <w:rPr>
          <w:rFonts w:ascii="Arial" w:hAnsi="Arial"/>
          <w:sz w:val="20"/>
          <w:szCs w:val="20"/>
        </w:rPr>
        <w:tab/>
        <w:t>Office Manager</w:t>
      </w:r>
    </w:p>
    <w:p w14:paraId="7E60DF34" w14:textId="655FCE8A" w:rsidR="00711491" w:rsidRDefault="00711491" w:rsidP="00711491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sz w:val="20"/>
          <w:szCs w:val="20"/>
        </w:rPr>
      </w:pPr>
    </w:p>
    <w:p w14:paraId="27837FB1" w14:textId="38A70ACC" w:rsidR="00711491" w:rsidRDefault="00711491" w:rsidP="00711491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VISITORS:</w:t>
      </w:r>
    </w:p>
    <w:p w14:paraId="3A91BCB2" w14:textId="567C9371" w:rsidR="0042388E" w:rsidRPr="0042388E" w:rsidRDefault="00726C63" w:rsidP="00711491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Susan Haynes</w:t>
      </w:r>
      <w:r w:rsidR="00A01B08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Assistant Attorney General</w:t>
      </w:r>
    </w:p>
    <w:p w14:paraId="28DB5635" w14:textId="77777777" w:rsidR="00711491" w:rsidRPr="00711491" w:rsidRDefault="00711491" w:rsidP="00711491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9"/>
        <w:gridCol w:w="2409"/>
        <w:gridCol w:w="2185"/>
        <w:gridCol w:w="2332"/>
      </w:tblGrid>
      <w:tr w:rsidR="00736036" w:rsidRPr="00EE5215" w14:paraId="77D1258A" w14:textId="77777777" w:rsidTr="00521770">
        <w:trPr>
          <w:trHeight w:hRule="exact" w:val="331"/>
        </w:trPr>
        <w:tc>
          <w:tcPr>
            <w:tcW w:w="2169" w:type="dxa"/>
          </w:tcPr>
          <w:p w14:paraId="41FEAFBB" w14:textId="47B75C04" w:rsidR="00736036" w:rsidRPr="00EE5215" w:rsidRDefault="00736036" w:rsidP="00212482">
            <w:pPr>
              <w:spacing w:line="360" w:lineRule="auto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2A86B5A" w14:textId="06BE15C6" w:rsidR="00736036" w:rsidRPr="00EE5215" w:rsidRDefault="00736036" w:rsidP="00736036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5" w:type="dxa"/>
          </w:tcPr>
          <w:p w14:paraId="722B5467" w14:textId="37886601" w:rsidR="00736036" w:rsidRPr="00EE5215" w:rsidRDefault="00736036" w:rsidP="00736036">
            <w:pPr>
              <w:spacing w:line="360" w:lineRule="auto"/>
              <w:ind w:left="-18"/>
              <w:rPr>
                <w:rFonts w:ascii="Arial" w:hAnsi="Arial"/>
                <w:color w:val="5B9BD5" w:themeColor="accent1"/>
                <w:sz w:val="16"/>
                <w:szCs w:val="16"/>
              </w:rPr>
            </w:pPr>
          </w:p>
        </w:tc>
        <w:tc>
          <w:tcPr>
            <w:tcW w:w="2332" w:type="dxa"/>
          </w:tcPr>
          <w:p w14:paraId="0351E52A" w14:textId="118F0A3C" w:rsidR="00736036" w:rsidRPr="00EE5215" w:rsidRDefault="00736036" w:rsidP="00736036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</w:tbl>
    <w:p w14:paraId="2DCCAA7E" w14:textId="0DC895A6" w:rsidR="006C1D4B" w:rsidRPr="00E568F6" w:rsidRDefault="00C0292E" w:rsidP="006C1D4B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 w:rsidRPr="00212482">
        <w:rPr>
          <w:rFonts w:ascii="Arial" w:hAnsi="Arial"/>
          <w:b/>
          <w:sz w:val="22"/>
          <w:szCs w:val="22"/>
        </w:rPr>
        <w:t>C</w:t>
      </w:r>
      <w:r w:rsidR="00732BF7">
        <w:rPr>
          <w:rFonts w:ascii="Arial" w:hAnsi="Arial"/>
          <w:b/>
          <w:sz w:val="22"/>
          <w:szCs w:val="22"/>
        </w:rPr>
        <w:t>ALL</w:t>
      </w:r>
      <w:r w:rsidRPr="00212482">
        <w:rPr>
          <w:rFonts w:ascii="Arial" w:hAnsi="Arial"/>
          <w:b/>
          <w:sz w:val="22"/>
          <w:szCs w:val="22"/>
        </w:rPr>
        <w:t xml:space="preserve"> </w:t>
      </w:r>
      <w:r w:rsidR="00732BF7">
        <w:rPr>
          <w:rFonts w:ascii="Arial" w:hAnsi="Arial"/>
          <w:b/>
          <w:sz w:val="22"/>
          <w:szCs w:val="22"/>
        </w:rPr>
        <w:t>TO ORDER</w:t>
      </w:r>
      <w:r w:rsidRPr="00212482">
        <w:rPr>
          <w:rFonts w:ascii="Arial" w:hAnsi="Arial"/>
          <w:b/>
          <w:sz w:val="22"/>
          <w:szCs w:val="22"/>
        </w:rPr>
        <w:br/>
      </w:r>
      <w:bookmarkStart w:id="0" w:name="_Hlk3554090"/>
      <w:r w:rsidR="00212482" w:rsidRPr="003720E0">
        <w:rPr>
          <w:rFonts w:ascii="Arial" w:hAnsi="Arial"/>
          <w:color w:val="000000" w:themeColor="text1"/>
          <w:sz w:val="18"/>
          <w:szCs w:val="18"/>
        </w:rPr>
        <w:t xml:space="preserve">Chair, </w:t>
      </w:r>
      <w:r w:rsidR="00A01B08">
        <w:rPr>
          <w:rFonts w:ascii="Arial" w:hAnsi="Arial"/>
          <w:color w:val="000000" w:themeColor="text1"/>
          <w:sz w:val="18"/>
          <w:szCs w:val="18"/>
        </w:rPr>
        <w:t xml:space="preserve">Holly </w:t>
      </w:r>
      <w:r w:rsidR="000C16B8">
        <w:rPr>
          <w:rFonts w:ascii="Arial" w:hAnsi="Arial"/>
          <w:color w:val="000000" w:themeColor="text1"/>
          <w:sz w:val="18"/>
          <w:szCs w:val="18"/>
        </w:rPr>
        <w:t>Kirbo</w:t>
      </w:r>
      <w:r w:rsidR="000C16B8" w:rsidRPr="003720E0">
        <w:rPr>
          <w:rFonts w:ascii="Arial" w:hAnsi="Arial"/>
          <w:color w:val="000000" w:themeColor="text1"/>
          <w:sz w:val="18"/>
          <w:szCs w:val="18"/>
        </w:rPr>
        <w:t xml:space="preserve"> called the meeting to</w:t>
      </w:r>
      <w:r w:rsidR="00212482" w:rsidRPr="003720E0">
        <w:rPr>
          <w:rFonts w:ascii="Arial" w:hAnsi="Arial"/>
          <w:color w:val="000000" w:themeColor="text1"/>
          <w:sz w:val="18"/>
          <w:szCs w:val="18"/>
        </w:rPr>
        <w:t xml:space="preserve"> order at 1</w:t>
      </w:r>
      <w:r w:rsidR="006C1D4B">
        <w:rPr>
          <w:rFonts w:ascii="Arial" w:hAnsi="Arial"/>
          <w:color w:val="000000" w:themeColor="text1"/>
          <w:sz w:val="18"/>
          <w:szCs w:val="18"/>
        </w:rPr>
        <w:t>0</w:t>
      </w:r>
      <w:r w:rsidR="00212482" w:rsidRPr="003720E0">
        <w:rPr>
          <w:rFonts w:ascii="Arial" w:hAnsi="Arial"/>
          <w:color w:val="000000" w:themeColor="text1"/>
          <w:sz w:val="18"/>
          <w:szCs w:val="18"/>
        </w:rPr>
        <w:t>:</w:t>
      </w:r>
      <w:r w:rsidR="006C1D4B">
        <w:rPr>
          <w:rFonts w:ascii="Arial" w:hAnsi="Arial"/>
          <w:color w:val="000000" w:themeColor="text1"/>
          <w:sz w:val="18"/>
          <w:szCs w:val="18"/>
        </w:rPr>
        <w:t>00</w:t>
      </w:r>
      <w:r w:rsidR="00747A5C">
        <w:rPr>
          <w:rFonts w:ascii="Arial" w:hAnsi="Arial"/>
          <w:color w:val="000000" w:themeColor="text1"/>
          <w:sz w:val="18"/>
          <w:szCs w:val="18"/>
        </w:rPr>
        <w:t>A</w:t>
      </w:r>
      <w:r w:rsidR="00CA69B6">
        <w:rPr>
          <w:rFonts w:ascii="Arial" w:hAnsi="Arial"/>
          <w:color w:val="000000" w:themeColor="text1"/>
          <w:sz w:val="18"/>
          <w:szCs w:val="18"/>
        </w:rPr>
        <w:t>.</w:t>
      </w:r>
      <w:r w:rsidR="00212482" w:rsidRPr="003720E0">
        <w:rPr>
          <w:rFonts w:ascii="Arial" w:hAnsi="Arial"/>
          <w:color w:val="000000" w:themeColor="text1"/>
          <w:sz w:val="18"/>
          <w:szCs w:val="18"/>
        </w:rPr>
        <w:t>M</w:t>
      </w:r>
      <w:bookmarkEnd w:id="0"/>
      <w:r w:rsidR="00CA69B6">
        <w:rPr>
          <w:rFonts w:ascii="Arial" w:hAnsi="Arial"/>
          <w:color w:val="000000" w:themeColor="text1"/>
          <w:sz w:val="18"/>
          <w:szCs w:val="18"/>
        </w:rPr>
        <w:t>.</w:t>
      </w:r>
    </w:p>
    <w:p w14:paraId="58B1A669" w14:textId="77777777" w:rsidR="00E568F6" w:rsidRPr="00E568F6" w:rsidRDefault="00E568F6" w:rsidP="002049D0">
      <w:pPr>
        <w:pStyle w:val="ListParagraph"/>
        <w:rPr>
          <w:rFonts w:ascii="Arial" w:hAnsi="Arial"/>
          <w:b/>
          <w:color w:val="4472C4" w:themeColor="accent5"/>
          <w:sz w:val="22"/>
          <w:szCs w:val="22"/>
        </w:rPr>
      </w:pPr>
    </w:p>
    <w:p w14:paraId="7F200BAA" w14:textId="044755D3" w:rsidR="00E568F6" w:rsidRPr="00E17E50" w:rsidRDefault="00E568F6" w:rsidP="006C1D4B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7E50">
        <w:rPr>
          <w:rFonts w:ascii="Arial" w:hAnsi="Arial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Executive Director’s Report</w:t>
      </w:r>
    </w:p>
    <w:p w14:paraId="0036DDDC" w14:textId="2FACEF79" w:rsidR="00E568F6" w:rsidRPr="001E5310" w:rsidRDefault="00E568F6" w:rsidP="00E568F6">
      <w:pPr>
        <w:ind w:left="360"/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Executive Director, Kirk Shook presented the following:</w:t>
      </w:r>
    </w:p>
    <w:p w14:paraId="186BD46B" w14:textId="77777777" w:rsidR="009F5F1D" w:rsidRPr="001E5310" w:rsidRDefault="009F5F1D" w:rsidP="00E568F6">
      <w:pPr>
        <w:ind w:left="360"/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7D9306" w14:textId="6701978E" w:rsidR="00E568F6" w:rsidRPr="0090548A" w:rsidRDefault="002049D0" w:rsidP="00E568F6">
      <w:pPr>
        <w:pStyle w:val="ListParagraph"/>
        <w:numPr>
          <w:ilvl w:val="0"/>
          <w:numId w:val="24"/>
        </w:numPr>
        <w:rPr>
          <w:rFonts w:ascii="Arial" w:hAnsi="Arial"/>
          <w:b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548A">
        <w:rPr>
          <w:rFonts w:ascii="Arial" w:hAnsi="Arial"/>
          <w:b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SB 91 Update</w:t>
      </w:r>
    </w:p>
    <w:p w14:paraId="43201201" w14:textId="0E6C7A9D" w:rsidR="002049D0" w:rsidRPr="001E5310" w:rsidRDefault="002049D0" w:rsidP="00E53CC3">
      <w:pPr>
        <w:pStyle w:val="ListParagraph"/>
        <w:numPr>
          <w:ilvl w:val="0"/>
          <w:numId w:val="31"/>
        </w:numPr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</w:t>
      </w:r>
      <w:r w:rsidR="0007178D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sed</w:t>
      </w:r>
      <w:r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House 170 – 0</w:t>
      </w:r>
    </w:p>
    <w:p w14:paraId="4563C8CF" w14:textId="61C471B5" w:rsidR="002049D0" w:rsidRPr="001E5310" w:rsidRDefault="002049D0" w:rsidP="00E53CC3">
      <w:pPr>
        <w:pStyle w:val="ListParagraph"/>
        <w:numPr>
          <w:ilvl w:val="0"/>
          <w:numId w:val="31"/>
        </w:numPr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Will go back to the Senate for review</w:t>
      </w:r>
    </w:p>
    <w:p w14:paraId="484B1787" w14:textId="2D2B0674" w:rsidR="002049D0" w:rsidRPr="001E5310" w:rsidRDefault="002049D0" w:rsidP="00E53CC3">
      <w:pPr>
        <w:pStyle w:val="ListParagraph"/>
        <w:numPr>
          <w:ilvl w:val="0"/>
          <w:numId w:val="31"/>
        </w:numPr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Explicit language of the bill will be discussed during April</w:t>
      </w:r>
      <w:r w:rsidR="009F5F1D"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’s</w:t>
      </w:r>
      <w:r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Commission Meeting in Savannah</w:t>
      </w:r>
    </w:p>
    <w:p w14:paraId="26A82670" w14:textId="77777777" w:rsidR="002049D0" w:rsidRPr="001E5310" w:rsidRDefault="002049D0" w:rsidP="002049D0">
      <w:pPr>
        <w:pStyle w:val="ListParagraph"/>
        <w:ind w:left="1800"/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C2E79E" w14:textId="01BF767F" w:rsidR="002049D0" w:rsidRPr="0090548A" w:rsidRDefault="002049D0" w:rsidP="002049D0">
      <w:pPr>
        <w:pStyle w:val="ListParagraph"/>
        <w:numPr>
          <w:ilvl w:val="0"/>
          <w:numId w:val="24"/>
        </w:numPr>
        <w:rPr>
          <w:rFonts w:ascii="Arial" w:hAnsi="Arial"/>
          <w:b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548A">
        <w:rPr>
          <w:rFonts w:ascii="Arial" w:hAnsi="Arial"/>
          <w:b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Argosy University School Closure Update</w:t>
      </w:r>
    </w:p>
    <w:p w14:paraId="2931A261" w14:textId="797A4B20" w:rsidR="002049D0" w:rsidRPr="001E5310" w:rsidRDefault="002049D0" w:rsidP="00E53CC3">
      <w:pPr>
        <w:pStyle w:val="ListParagraph"/>
        <w:numPr>
          <w:ilvl w:val="0"/>
          <w:numId w:val="32"/>
        </w:numPr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GNPEC has received</w:t>
      </w:r>
      <w:r w:rsidR="009F5F1D"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date,</w:t>
      </w:r>
      <w:r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37 student inquires and 11 student refund</w:t>
      </w:r>
      <w:r w:rsidR="009F5F1D"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requests with five</w:t>
      </w:r>
      <w:r w:rsidR="0007178D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F5F1D"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(5) students who seems to be eligible</w:t>
      </w:r>
      <w:r w:rsidR="0007178D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totaling around $30,000</w:t>
      </w:r>
    </w:p>
    <w:p w14:paraId="203FB133" w14:textId="7C5BC1FB" w:rsidR="002049D0" w:rsidRPr="001E5310" w:rsidRDefault="002049D0" w:rsidP="00E53CC3">
      <w:pPr>
        <w:pStyle w:val="ListParagraph"/>
        <w:numPr>
          <w:ilvl w:val="0"/>
          <w:numId w:val="32"/>
        </w:numPr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GNPEC continues to collect student inquires</w:t>
      </w:r>
      <w:r w:rsidR="009F5F1D"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assist students</w:t>
      </w:r>
    </w:p>
    <w:p w14:paraId="58D2F2A5" w14:textId="6311A014" w:rsidR="002049D0" w:rsidRPr="001E5310" w:rsidRDefault="002049D0" w:rsidP="00E53CC3">
      <w:pPr>
        <w:pStyle w:val="ListParagraph"/>
        <w:numPr>
          <w:ilvl w:val="0"/>
          <w:numId w:val="32"/>
        </w:numPr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AG’s office submitted a bond surrender request to Argosy</w:t>
      </w:r>
    </w:p>
    <w:p w14:paraId="363717D3" w14:textId="63A0F34C" w:rsidR="002049D0" w:rsidRPr="001E5310" w:rsidRDefault="002049D0" w:rsidP="00E53CC3">
      <w:pPr>
        <w:pStyle w:val="ListParagraph"/>
        <w:numPr>
          <w:ilvl w:val="0"/>
          <w:numId w:val="32"/>
        </w:numPr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Argosy has two</w:t>
      </w:r>
      <w:r w:rsidR="0007178D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(2) $200,000 bonds</w:t>
      </w:r>
      <w:r w:rsidR="009F5F1D"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that GNPEC can cash in</w:t>
      </w:r>
    </w:p>
    <w:p w14:paraId="292948A8" w14:textId="37B05F29" w:rsidR="009F5F1D" w:rsidRPr="001E5310" w:rsidRDefault="009F5F1D" w:rsidP="00E53CC3">
      <w:pPr>
        <w:pStyle w:val="ListParagraph"/>
        <w:numPr>
          <w:ilvl w:val="0"/>
          <w:numId w:val="32"/>
        </w:numPr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Further update </w:t>
      </w:r>
      <w:r w:rsid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follow </w:t>
      </w:r>
      <w:r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during April’s Commission Meeting in Savannah</w:t>
      </w:r>
    </w:p>
    <w:p w14:paraId="2DCEED7B" w14:textId="77777777" w:rsidR="009F5F1D" w:rsidRPr="001E5310" w:rsidRDefault="009F5F1D" w:rsidP="009F5F1D">
      <w:pPr>
        <w:pStyle w:val="ListParagraph"/>
        <w:ind w:left="1800"/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3D2F65" w14:textId="4AE0C497" w:rsidR="009F5F1D" w:rsidRPr="0090548A" w:rsidRDefault="009F5F1D" w:rsidP="009F5F1D">
      <w:pPr>
        <w:pStyle w:val="ListParagraph"/>
        <w:numPr>
          <w:ilvl w:val="0"/>
          <w:numId w:val="24"/>
        </w:numPr>
        <w:rPr>
          <w:rFonts w:ascii="Arial" w:hAnsi="Arial"/>
          <w:b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548A">
        <w:rPr>
          <w:rFonts w:ascii="Arial" w:hAnsi="Arial"/>
          <w:b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Schedule of Fees to Post for Public Comment</w:t>
      </w:r>
    </w:p>
    <w:p w14:paraId="2BE2C374" w14:textId="48AD981D" w:rsidR="009F5F1D" w:rsidRPr="001E5310" w:rsidRDefault="009F5F1D" w:rsidP="00E53CC3">
      <w:pPr>
        <w:pStyle w:val="ListParagraph"/>
        <w:numPr>
          <w:ilvl w:val="0"/>
          <w:numId w:val="33"/>
        </w:numPr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GNPEC will be posting information </w:t>
      </w:r>
      <w:proofErr w:type="gramStart"/>
      <w:r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 reference to</w:t>
      </w:r>
      <w:proofErr w:type="gramEnd"/>
      <w:r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91D39"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S</w:t>
      </w:r>
      <w:r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chedule of </w:t>
      </w:r>
      <w:r w:rsidR="00691D39"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07178D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ine</w:t>
      </w:r>
      <w:r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this week</w:t>
      </w:r>
    </w:p>
    <w:p w14:paraId="3E046BF2" w14:textId="50474428" w:rsidR="009F5F1D" w:rsidRPr="001E5310" w:rsidRDefault="009F5F1D" w:rsidP="00E53CC3">
      <w:pPr>
        <w:pStyle w:val="ListParagraph"/>
        <w:numPr>
          <w:ilvl w:val="0"/>
          <w:numId w:val="33"/>
        </w:numPr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Schedule of </w:t>
      </w:r>
      <w:r w:rsidR="00691D39"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07178D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ine</w:t>
      </w:r>
      <w:r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involve fees to be collected for violations and non-compliance issues</w:t>
      </w:r>
    </w:p>
    <w:p w14:paraId="0EFFDE41" w14:textId="2280CDE0" w:rsidR="009F5F1D" w:rsidRPr="001E5310" w:rsidRDefault="009F5F1D" w:rsidP="00E53CC3">
      <w:pPr>
        <w:pStyle w:val="ListParagraph"/>
        <w:numPr>
          <w:ilvl w:val="0"/>
          <w:numId w:val="33"/>
        </w:numPr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fee write-up has been submitted to the AG’s office for review prior to posting</w:t>
      </w:r>
    </w:p>
    <w:p w14:paraId="4266BFA6" w14:textId="135FD873" w:rsidR="009F5F1D" w:rsidRPr="001E5310" w:rsidRDefault="009F5F1D" w:rsidP="00E53CC3">
      <w:pPr>
        <w:pStyle w:val="ListParagraph"/>
        <w:numPr>
          <w:ilvl w:val="0"/>
          <w:numId w:val="33"/>
        </w:numPr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Commission will have the opportunity to </w:t>
      </w:r>
      <w:r w:rsidR="003B7F78"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approve</w:t>
      </w:r>
      <w:r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these Schedule of F</w:t>
      </w:r>
      <w:r w:rsidR="0007178D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ine</w:t>
      </w:r>
      <w:r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during April’s Commission Meeting in Savannah</w:t>
      </w:r>
    </w:p>
    <w:p w14:paraId="39DA09B2" w14:textId="77777777" w:rsidR="003B7F78" w:rsidRPr="001E5310" w:rsidRDefault="003B7F78" w:rsidP="003B7F78">
      <w:pPr>
        <w:pStyle w:val="ListParagraph"/>
        <w:ind w:left="1800"/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61B621" w14:textId="230C2239" w:rsidR="003B7F78" w:rsidRPr="001E5310" w:rsidRDefault="003B7F78" w:rsidP="003B7F78">
      <w:pPr>
        <w:ind w:left="360"/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Executive Director Shook asked the Commission if there were any questions.</w:t>
      </w:r>
    </w:p>
    <w:p w14:paraId="2389AEE3" w14:textId="74070D8F" w:rsidR="003B7F78" w:rsidRPr="001E5310" w:rsidRDefault="003B7F78" w:rsidP="003B7F78">
      <w:pPr>
        <w:ind w:left="360"/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A011A6" w14:textId="51F6573E" w:rsidR="003B7F78" w:rsidRPr="001E5310" w:rsidRDefault="003B7F78" w:rsidP="003B7F78">
      <w:pPr>
        <w:ind w:left="360"/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There w</w:t>
      </w:r>
      <w:r w:rsidR="0007178D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ere</w:t>
      </w:r>
      <w:r w:rsidRPr="001E5310">
        <w:rPr>
          <w:rFonts w:ascii="Arial" w:hAnsi="Arial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none.</w:t>
      </w:r>
    </w:p>
    <w:p w14:paraId="3FB43A8C" w14:textId="77777777" w:rsidR="00E568F6" w:rsidRPr="006C1D4B" w:rsidRDefault="00E568F6" w:rsidP="00E568F6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343BABEC" w14:textId="77777777" w:rsidR="006C1D4B" w:rsidRPr="006C1D4B" w:rsidRDefault="006C1D4B" w:rsidP="006C1D4B">
      <w:pPr>
        <w:pStyle w:val="ListParagraph"/>
        <w:ind w:left="1080"/>
        <w:rPr>
          <w:rFonts w:ascii="Arial" w:hAnsi="Arial"/>
          <w:b/>
          <w:color w:val="4472C4" w:themeColor="accent5"/>
          <w:sz w:val="22"/>
          <w:szCs w:val="22"/>
        </w:rPr>
      </w:pPr>
    </w:p>
    <w:p w14:paraId="056CC6DE" w14:textId="339A9761" w:rsidR="00C0292E" w:rsidRPr="00732BF7" w:rsidRDefault="00732BF7" w:rsidP="00C0292E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APPROVAL OF AGENDA</w:t>
      </w:r>
    </w:p>
    <w:p w14:paraId="4CAE2E7E" w14:textId="162289D5" w:rsidR="00732BF7" w:rsidRDefault="0083722A" w:rsidP="00732BF7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Karen Gilbert</w:t>
      </w:r>
      <w:r w:rsidR="00732BF7" w:rsidRPr="00732BF7">
        <w:rPr>
          <w:rFonts w:ascii="Arial" w:hAnsi="Arial"/>
          <w:sz w:val="18"/>
          <w:szCs w:val="18"/>
        </w:rPr>
        <w:t xml:space="preserve"> made a motion to </w:t>
      </w:r>
      <w:r w:rsidR="001E5310">
        <w:rPr>
          <w:rFonts w:ascii="Arial" w:hAnsi="Arial"/>
          <w:b/>
          <w:sz w:val="18"/>
          <w:szCs w:val="18"/>
        </w:rPr>
        <w:t>ADOPT</w:t>
      </w:r>
      <w:r w:rsidR="00732BF7" w:rsidRPr="00732BF7">
        <w:rPr>
          <w:rFonts w:ascii="Arial" w:hAnsi="Arial"/>
          <w:sz w:val="18"/>
          <w:szCs w:val="18"/>
        </w:rPr>
        <w:t xml:space="preserve"> the Agenda for the </w:t>
      </w:r>
      <w:r w:rsidR="001300B0">
        <w:rPr>
          <w:rFonts w:ascii="Arial" w:hAnsi="Arial"/>
          <w:sz w:val="18"/>
          <w:szCs w:val="18"/>
        </w:rPr>
        <w:t xml:space="preserve">March </w:t>
      </w:r>
      <w:r w:rsidR="001E5310">
        <w:rPr>
          <w:rFonts w:ascii="Arial" w:hAnsi="Arial"/>
          <w:sz w:val="18"/>
          <w:szCs w:val="18"/>
        </w:rPr>
        <w:t>2</w:t>
      </w:r>
      <w:r w:rsidR="001300B0">
        <w:rPr>
          <w:rFonts w:ascii="Arial" w:hAnsi="Arial"/>
          <w:sz w:val="18"/>
          <w:szCs w:val="18"/>
        </w:rPr>
        <w:t>6, 2019</w:t>
      </w:r>
      <w:r w:rsidR="00732BF7" w:rsidRPr="00732BF7">
        <w:rPr>
          <w:rFonts w:ascii="Arial" w:hAnsi="Arial"/>
          <w:sz w:val="18"/>
          <w:szCs w:val="18"/>
        </w:rPr>
        <w:t xml:space="preserve"> </w:t>
      </w:r>
      <w:r w:rsidR="003A536E">
        <w:rPr>
          <w:rFonts w:ascii="Arial" w:hAnsi="Arial"/>
          <w:sz w:val="18"/>
          <w:szCs w:val="18"/>
        </w:rPr>
        <w:t xml:space="preserve">Special Called </w:t>
      </w:r>
      <w:r w:rsidR="00732BF7" w:rsidRPr="00732BF7">
        <w:rPr>
          <w:rFonts w:ascii="Arial" w:hAnsi="Arial"/>
          <w:sz w:val="18"/>
          <w:szCs w:val="18"/>
        </w:rPr>
        <w:t xml:space="preserve">Commission Meeting of the </w:t>
      </w:r>
      <w:r w:rsidR="00F51501">
        <w:rPr>
          <w:rFonts w:ascii="Arial" w:hAnsi="Arial"/>
          <w:sz w:val="18"/>
          <w:szCs w:val="18"/>
        </w:rPr>
        <w:t xml:space="preserve">Georgia </w:t>
      </w:r>
      <w:r w:rsidR="00732BF7" w:rsidRPr="00732BF7">
        <w:rPr>
          <w:rFonts w:ascii="Arial" w:hAnsi="Arial"/>
          <w:sz w:val="18"/>
          <w:szCs w:val="18"/>
        </w:rPr>
        <w:t>Nonpublic Postsecondary Education Commission.</w:t>
      </w:r>
      <w:r w:rsidR="001300B0">
        <w:rPr>
          <w:rFonts w:ascii="Arial" w:hAnsi="Arial"/>
          <w:sz w:val="18"/>
          <w:szCs w:val="18"/>
        </w:rPr>
        <w:t xml:space="preserve"> </w:t>
      </w:r>
      <w:r w:rsidR="00732BF7" w:rsidRPr="00732BF7">
        <w:rPr>
          <w:rFonts w:ascii="Arial" w:hAnsi="Arial"/>
          <w:sz w:val="18"/>
          <w:szCs w:val="18"/>
        </w:rPr>
        <w:t xml:space="preserve"> </w:t>
      </w:r>
      <w:r w:rsidR="001E5310">
        <w:rPr>
          <w:rFonts w:ascii="Arial" w:hAnsi="Arial"/>
          <w:sz w:val="18"/>
          <w:szCs w:val="18"/>
        </w:rPr>
        <w:t>Mollie Cohen</w:t>
      </w:r>
      <w:r w:rsidR="00732BF7" w:rsidRPr="00732BF7">
        <w:rPr>
          <w:rFonts w:ascii="Arial" w:hAnsi="Arial"/>
          <w:sz w:val="18"/>
          <w:szCs w:val="18"/>
        </w:rPr>
        <w:t xml:space="preserve"> seconded the motion.</w:t>
      </w:r>
    </w:p>
    <w:p w14:paraId="71008221" w14:textId="0A369195" w:rsidR="00D930E4" w:rsidRDefault="00D930E4" w:rsidP="00732BF7">
      <w:pPr>
        <w:pStyle w:val="ListParagraph"/>
        <w:ind w:left="360"/>
        <w:rPr>
          <w:rFonts w:ascii="Arial" w:hAnsi="Arial"/>
          <w:sz w:val="18"/>
          <w:szCs w:val="18"/>
        </w:rPr>
      </w:pPr>
    </w:p>
    <w:p w14:paraId="28815C53" w14:textId="2F2C7020" w:rsidR="00ED526F" w:rsidRDefault="00ED526F" w:rsidP="00ED526F">
      <w:pPr>
        <w:ind w:left="345"/>
        <w:rPr>
          <w:rFonts w:ascii="Arial" w:hAnsi="Arial"/>
          <w:sz w:val="18"/>
          <w:szCs w:val="18"/>
        </w:rPr>
      </w:pPr>
      <w:r w:rsidRPr="00D00ABB">
        <w:rPr>
          <w:rFonts w:ascii="Arial" w:hAnsi="Arial"/>
          <w:sz w:val="18"/>
          <w:szCs w:val="18"/>
        </w:rPr>
        <w:t xml:space="preserve">Upon unanimous vote it was </w:t>
      </w:r>
      <w:r w:rsidRPr="001E41CD">
        <w:rPr>
          <w:rFonts w:ascii="Arial" w:hAnsi="Arial"/>
          <w:b/>
          <w:sz w:val="18"/>
          <w:szCs w:val="18"/>
        </w:rPr>
        <w:t>RESOLVED</w:t>
      </w:r>
      <w:r>
        <w:rPr>
          <w:rFonts w:ascii="Arial" w:hAnsi="Arial"/>
          <w:sz w:val="18"/>
          <w:szCs w:val="18"/>
        </w:rPr>
        <w:t xml:space="preserve"> that the Agenda for the </w:t>
      </w:r>
      <w:r w:rsidR="001300B0">
        <w:rPr>
          <w:rFonts w:ascii="Arial" w:hAnsi="Arial"/>
          <w:sz w:val="18"/>
          <w:szCs w:val="18"/>
        </w:rPr>
        <w:t xml:space="preserve">March </w:t>
      </w:r>
      <w:r w:rsidR="001E5310">
        <w:rPr>
          <w:rFonts w:ascii="Arial" w:hAnsi="Arial"/>
          <w:sz w:val="18"/>
          <w:szCs w:val="18"/>
        </w:rPr>
        <w:t>2</w:t>
      </w:r>
      <w:r w:rsidR="001300B0">
        <w:rPr>
          <w:rFonts w:ascii="Arial" w:hAnsi="Arial"/>
          <w:sz w:val="18"/>
          <w:szCs w:val="18"/>
        </w:rPr>
        <w:t>6</w:t>
      </w:r>
      <w:r>
        <w:rPr>
          <w:rFonts w:ascii="Arial" w:hAnsi="Arial"/>
          <w:sz w:val="18"/>
          <w:szCs w:val="18"/>
        </w:rPr>
        <w:t>, 201</w:t>
      </w:r>
      <w:r w:rsidR="001300B0">
        <w:rPr>
          <w:rFonts w:ascii="Arial" w:hAnsi="Arial"/>
          <w:sz w:val="18"/>
          <w:szCs w:val="18"/>
        </w:rPr>
        <w:t>9 Special Called</w:t>
      </w:r>
      <w:r>
        <w:rPr>
          <w:rFonts w:ascii="Arial" w:hAnsi="Arial"/>
          <w:sz w:val="18"/>
          <w:szCs w:val="18"/>
        </w:rPr>
        <w:t xml:space="preserve"> </w:t>
      </w:r>
      <w:r w:rsidR="001300B0">
        <w:rPr>
          <w:rFonts w:ascii="Arial" w:hAnsi="Arial"/>
          <w:sz w:val="18"/>
          <w:szCs w:val="18"/>
        </w:rPr>
        <w:t>M</w:t>
      </w:r>
      <w:r>
        <w:rPr>
          <w:rFonts w:ascii="Arial" w:hAnsi="Arial"/>
          <w:sz w:val="18"/>
          <w:szCs w:val="18"/>
        </w:rPr>
        <w:t>eeting be adopted.</w:t>
      </w:r>
    </w:p>
    <w:p w14:paraId="30BE8DF6" w14:textId="041AF1E5" w:rsidR="001E5310" w:rsidRPr="001E5310" w:rsidRDefault="001E5310" w:rsidP="001E5310">
      <w:pPr>
        <w:pStyle w:val="ListParagraph"/>
        <w:ind w:left="360"/>
        <w:rPr>
          <w:rFonts w:ascii="Arial" w:hAnsi="Arial"/>
          <w:sz w:val="18"/>
          <w:szCs w:val="18"/>
        </w:rPr>
      </w:pPr>
    </w:p>
    <w:p w14:paraId="3023623E" w14:textId="624FCC9F" w:rsidR="001E5310" w:rsidRPr="001E5310" w:rsidRDefault="001E5310" w:rsidP="0090548A">
      <w:pPr>
        <w:pStyle w:val="ListParagraph"/>
        <w:numPr>
          <w:ilvl w:val="0"/>
          <w:numId w:val="2"/>
        </w:numPr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22"/>
          <w:szCs w:val="22"/>
        </w:rPr>
        <w:t>APPROVAL OF MINUTES</w:t>
      </w:r>
    </w:p>
    <w:p w14:paraId="2A69C987" w14:textId="3A542811" w:rsidR="001E5310" w:rsidRDefault="001E5310" w:rsidP="001E5310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Mollie Cohen made a motion to </w:t>
      </w:r>
      <w:r w:rsidRPr="001E5310">
        <w:rPr>
          <w:rFonts w:ascii="Arial" w:hAnsi="Arial"/>
          <w:b/>
          <w:sz w:val="18"/>
          <w:szCs w:val="18"/>
        </w:rPr>
        <w:t>ADOPT</w:t>
      </w:r>
      <w:r>
        <w:rPr>
          <w:rFonts w:ascii="Arial" w:hAnsi="Arial"/>
          <w:sz w:val="18"/>
          <w:szCs w:val="18"/>
        </w:rPr>
        <w:t xml:space="preserve"> the minutes from March 6, 2019 Special Called Meeting of the Georgia Nonpublic Postsecondary Education Commission. Toby Hinton seconded the motion.</w:t>
      </w:r>
    </w:p>
    <w:p w14:paraId="3252EC23" w14:textId="3239B8E8" w:rsidR="001E5310" w:rsidRDefault="001E5310" w:rsidP="001E5310">
      <w:pPr>
        <w:pStyle w:val="ListParagraph"/>
        <w:ind w:left="360"/>
        <w:rPr>
          <w:rFonts w:ascii="Arial" w:hAnsi="Arial"/>
          <w:sz w:val="18"/>
          <w:szCs w:val="18"/>
        </w:rPr>
      </w:pPr>
    </w:p>
    <w:p w14:paraId="6B776CFA" w14:textId="62420950" w:rsidR="001E5310" w:rsidRPr="001E5310" w:rsidRDefault="001E5310" w:rsidP="001E5310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Upon unanimous vote it was </w:t>
      </w:r>
      <w:r>
        <w:rPr>
          <w:rFonts w:ascii="Arial" w:hAnsi="Arial"/>
          <w:b/>
          <w:sz w:val="18"/>
          <w:szCs w:val="18"/>
        </w:rPr>
        <w:t>RESOLVED</w:t>
      </w:r>
      <w:r>
        <w:rPr>
          <w:rFonts w:ascii="Arial" w:hAnsi="Arial"/>
          <w:sz w:val="18"/>
          <w:szCs w:val="18"/>
        </w:rPr>
        <w:t xml:space="preserve"> that the minutes from the March 6, 2019 Special Called Meeting of the Georgia Nonpublic Postsecondary Education Commission be adopted.</w:t>
      </w:r>
    </w:p>
    <w:p w14:paraId="124F8842" w14:textId="77777777" w:rsidR="001E5310" w:rsidRPr="001E5310" w:rsidRDefault="001E5310" w:rsidP="001E5310">
      <w:pPr>
        <w:pStyle w:val="ListParagraph"/>
        <w:ind w:left="360"/>
        <w:rPr>
          <w:rFonts w:ascii="Arial" w:hAnsi="Arial"/>
          <w:sz w:val="18"/>
          <w:szCs w:val="18"/>
        </w:rPr>
      </w:pPr>
    </w:p>
    <w:p w14:paraId="727BF68D" w14:textId="52CA6DA6" w:rsidR="006963F4" w:rsidRDefault="008532AA" w:rsidP="0090548A">
      <w:pPr>
        <w:pStyle w:val="ListParagraph"/>
        <w:numPr>
          <w:ilvl w:val="0"/>
          <w:numId w:val="2"/>
        </w:numPr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22"/>
          <w:szCs w:val="22"/>
        </w:rPr>
        <w:t>DISCUSSION AND APRROVAL of SIFT APPEAL/ADMINISTRATIVE LAW JUDGE PROCESS/MODIFIY OSHA RULES</w:t>
      </w:r>
      <w:r w:rsidR="00C0292E" w:rsidRPr="00490DFA">
        <w:rPr>
          <w:rFonts w:ascii="Arial" w:hAnsi="Arial"/>
          <w:b/>
          <w:color w:val="4472C4" w:themeColor="accent5"/>
          <w:sz w:val="22"/>
          <w:szCs w:val="22"/>
        </w:rPr>
        <w:br/>
      </w:r>
    </w:p>
    <w:p w14:paraId="03953DFF" w14:textId="565C79EE" w:rsidR="008532AA" w:rsidRPr="008532AA" w:rsidRDefault="00340253" w:rsidP="008532AA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Chair Kirbo </w:t>
      </w:r>
      <w:r w:rsidR="008532AA">
        <w:rPr>
          <w:rFonts w:ascii="Arial" w:hAnsi="Arial"/>
          <w:sz w:val="18"/>
          <w:szCs w:val="18"/>
        </w:rPr>
        <w:t>open with the introduction of Attorney General, Susan Haynes. Chair Kirbo asked Attorney General Haynes to the special called meeting so that she may be a part of the discussion and make herself available to answer additional questions concerning the ALJ process and OSHA rules.</w:t>
      </w:r>
    </w:p>
    <w:p w14:paraId="322C40AE" w14:textId="77777777" w:rsidR="008532AA" w:rsidRDefault="008532AA" w:rsidP="006963F4">
      <w:pPr>
        <w:pStyle w:val="ListParagraph"/>
        <w:ind w:left="360"/>
        <w:rPr>
          <w:rFonts w:ascii="Arial" w:hAnsi="Arial"/>
          <w:sz w:val="18"/>
          <w:szCs w:val="18"/>
        </w:rPr>
      </w:pPr>
    </w:p>
    <w:p w14:paraId="23DDEFDE" w14:textId="36661FB1" w:rsidR="00325599" w:rsidRDefault="008532AA" w:rsidP="006963F4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The following was discussed:</w:t>
      </w:r>
    </w:p>
    <w:p w14:paraId="06DA8C24" w14:textId="40E823E5" w:rsidR="008532AA" w:rsidRDefault="008532AA" w:rsidP="00E53CC3">
      <w:pPr>
        <w:pStyle w:val="ListParagraph"/>
        <w:numPr>
          <w:ilvl w:val="0"/>
          <w:numId w:val="34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SIFT Institute appeal date is June 13, 2019</w:t>
      </w:r>
    </w:p>
    <w:p w14:paraId="24B5E840" w14:textId="5DFFDAEF" w:rsidR="008532AA" w:rsidRDefault="008532AA" w:rsidP="00E53CC3">
      <w:pPr>
        <w:pStyle w:val="ListParagraph"/>
        <w:numPr>
          <w:ilvl w:val="0"/>
          <w:numId w:val="34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 Hearing Officer was used for the last appeal hearing; it was a costly process</w:t>
      </w:r>
    </w:p>
    <w:p w14:paraId="5B4FFF0E" w14:textId="76130797" w:rsidR="008532AA" w:rsidRDefault="008532AA" w:rsidP="00E53CC3">
      <w:pPr>
        <w:pStyle w:val="ListParagraph"/>
        <w:numPr>
          <w:ilvl w:val="0"/>
          <w:numId w:val="34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Can control cost better by using an ALJ</w:t>
      </w:r>
    </w:p>
    <w:p w14:paraId="53172251" w14:textId="730DDEBA" w:rsidR="008532AA" w:rsidRDefault="0007178D" w:rsidP="00E53CC3">
      <w:pPr>
        <w:pStyle w:val="ListParagraph"/>
        <w:numPr>
          <w:ilvl w:val="0"/>
          <w:numId w:val="34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OSAH</w:t>
      </w:r>
      <w:r w:rsidR="008532AA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will have</w:t>
      </w:r>
      <w:r w:rsidR="008532AA">
        <w:rPr>
          <w:rFonts w:ascii="Arial" w:hAnsi="Arial"/>
          <w:sz w:val="18"/>
          <w:szCs w:val="18"/>
        </w:rPr>
        <w:t xml:space="preserve"> uniform billing </w:t>
      </w:r>
      <w:r>
        <w:rPr>
          <w:rFonts w:ascii="Arial" w:hAnsi="Arial"/>
          <w:sz w:val="18"/>
          <w:szCs w:val="18"/>
        </w:rPr>
        <w:t xml:space="preserve">starting July 1, 2019 </w:t>
      </w:r>
      <w:r w:rsidR="008532AA">
        <w:rPr>
          <w:rFonts w:ascii="Arial" w:hAnsi="Arial"/>
          <w:sz w:val="18"/>
          <w:szCs w:val="18"/>
        </w:rPr>
        <w:t>which proves to be cost effective</w:t>
      </w:r>
    </w:p>
    <w:p w14:paraId="4435B8B3" w14:textId="0EDE20AC" w:rsidR="008532AA" w:rsidRDefault="008532AA" w:rsidP="00E53CC3">
      <w:pPr>
        <w:pStyle w:val="ListParagraph"/>
        <w:numPr>
          <w:ilvl w:val="0"/>
          <w:numId w:val="34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Commission had more flexibility with a Hearing Officer; able to ask questions and make comments</w:t>
      </w:r>
    </w:p>
    <w:p w14:paraId="7A981D1B" w14:textId="65B27916" w:rsidR="008532AA" w:rsidRDefault="008532AA" w:rsidP="00E53CC3">
      <w:pPr>
        <w:pStyle w:val="ListParagraph"/>
        <w:numPr>
          <w:ilvl w:val="0"/>
          <w:numId w:val="34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In utilizing the ALJ process, the Commission is not allowed to participate at all during the hearing</w:t>
      </w:r>
    </w:p>
    <w:p w14:paraId="0ADC355C" w14:textId="7E29AAED" w:rsidR="008532AA" w:rsidRDefault="008532AA" w:rsidP="00E53CC3">
      <w:pPr>
        <w:pStyle w:val="ListParagraph"/>
        <w:numPr>
          <w:ilvl w:val="0"/>
          <w:numId w:val="34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ALJ will focus only on the issue</w:t>
      </w:r>
    </w:p>
    <w:p w14:paraId="1F8F4388" w14:textId="3BADD3B8" w:rsidR="008532AA" w:rsidRDefault="008532AA" w:rsidP="00E53CC3">
      <w:pPr>
        <w:pStyle w:val="ListParagraph"/>
        <w:numPr>
          <w:ilvl w:val="0"/>
          <w:numId w:val="34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Because ALJ’s is an initial decision, the Commission can structure the rules to adequate</w:t>
      </w:r>
      <w:r w:rsidR="0007178D">
        <w:rPr>
          <w:rFonts w:ascii="Arial" w:hAnsi="Arial"/>
          <w:sz w:val="18"/>
          <w:szCs w:val="18"/>
        </w:rPr>
        <w:t>ly</w:t>
      </w:r>
      <w:r>
        <w:rPr>
          <w:rFonts w:ascii="Arial" w:hAnsi="Arial"/>
          <w:sz w:val="18"/>
          <w:szCs w:val="18"/>
        </w:rPr>
        <w:t xml:space="preserve"> protect the Commission</w:t>
      </w:r>
    </w:p>
    <w:p w14:paraId="4C60F4BD" w14:textId="1BA40764" w:rsidR="008532AA" w:rsidRDefault="008532AA" w:rsidP="00E53CC3">
      <w:pPr>
        <w:pStyle w:val="ListParagraph"/>
        <w:numPr>
          <w:ilvl w:val="0"/>
          <w:numId w:val="34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There will be a court reporter. Court reporter will provide the transcript of the hearing within a couple weeks after the hearing</w:t>
      </w:r>
    </w:p>
    <w:p w14:paraId="5917B939" w14:textId="61A8E5E4" w:rsidR="008532AA" w:rsidRPr="008532AA" w:rsidRDefault="008532AA" w:rsidP="00E53CC3">
      <w:pPr>
        <w:pStyle w:val="ListParagraph"/>
        <w:numPr>
          <w:ilvl w:val="0"/>
          <w:numId w:val="34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The AG’s office will get a copy of the transcript for review as well</w:t>
      </w:r>
    </w:p>
    <w:p w14:paraId="7E214B9B" w14:textId="3858B7D9" w:rsidR="008532AA" w:rsidRDefault="008532AA" w:rsidP="00E53CC3">
      <w:pPr>
        <w:pStyle w:val="ListParagraph"/>
        <w:numPr>
          <w:ilvl w:val="0"/>
          <w:numId w:val="34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The Commission can have a rule that allows the Commission to ask for additional information of evidence before the final decision </w:t>
      </w:r>
      <w:r w:rsidR="0007178D">
        <w:rPr>
          <w:rFonts w:ascii="Arial" w:hAnsi="Arial"/>
          <w:sz w:val="18"/>
          <w:szCs w:val="18"/>
        </w:rPr>
        <w:t>is</w:t>
      </w:r>
      <w:r>
        <w:rPr>
          <w:rFonts w:ascii="Arial" w:hAnsi="Arial"/>
          <w:sz w:val="18"/>
          <w:szCs w:val="18"/>
        </w:rPr>
        <w:t xml:space="preserve"> </w:t>
      </w:r>
      <w:r w:rsidR="0007178D">
        <w:rPr>
          <w:rFonts w:ascii="Arial" w:hAnsi="Arial"/>
          <w:sz w:val="18"/>
          <w:szCs w:val="18"/>
        </w:rPr>
        <w:t>voted on by the Commission</w:t>
      </w:r>
    </w:p>
    <w:p w14:paraId="65E7EFC8" w14:textId="4377A0BC" w:rsidR="008532AA" w:rsidRDefault="008532AA" w:rsidP="00E53CC3">
      <w:pPr>
        <w:pStyle w:val="ListParagraph"/>
        <w:numPr>
          <w:ilvl w:val="0"/>
          <w:numId w:val="34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Two options of rules:</w:t>
      </w:r>
    </w:p>
    <w:p w14:paraId="5F5E34D2" w14:textId="29ED6009" w:rsidR="008532AA" w:rsidRDefault="008532AA" w:rsidP="00E53CC3">
      <w:pPr>
        <w:pStyle w:val="ListParagraph"/>
        <w:numPr>
          <w:ilvl w:val="1"/>
          <w:numId w:val="34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Let the ALJ decision stand as the final decision and appeal to the ALJ if the Commission does not agree with the ALJ decision</w:t>
      </w:r>
    </w:p>
    <w:p w14:paraId="128A08EC" w14:textId="6AE92459" w:rsidR="008532AA" w:rsidRDefault="008532AA" w:rsidP="00E53CC3">
      <w:pPr>
        <w:pStyle w:val="ListParagraph"/>
        <w:numPr>
          <w:ilvl w:val="1"/>
          <w:numId w:val="34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Make the ALJ the initial decision maker, but subject to the Commission approval</w:t>
      </w:r>
    </w:p>
    <w:p w14:paraId="0D246418" w14:textId="29523D9F" w:rsidR="008532AA" w:rsidRDefault="008532AA" w:rsidP="00E53CC3">
      <w:pPr>
        <w:pStyle w:val="ListParagraph"/>
        <w:numPr>
          <w:ilvl w:val="0"/>
          <w:numId w:val="34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The requirement of three Commission members attend the hearing is not n</w:t>
      </w:r>
      <w:r w:rsidR="00E31148">
        <w:rPr>
          <w:rFonts w:ascii="Arial" w:hAnsi="Arial"/>
          <w:sz w:val="18"/>
          <w:szCs w:val="18"/>
        </w:rPr>
        <w:t>ecessary</w:t>
      </w:r>
      <w:r>
        <w:rPr>
          <w:rFonts w:ascii="Arial" w:hAnsi="Arial"/>
          <w:sz w:val="18"/>
          <w:szCs w:val="18"/>
        </w:rPr>
        <w:t>, but can attend at their own discretion</w:t>
      </w:r>
    </w:p>
    <w:p w14:paraId="5B383CAB" w14:textId="67ED6FFC" w:rsidR="008532AA" w:rsidRDefault="008532AA" w:rsidP="008532AA">
      <w:pPr>
        <w:rPr>
          <w:rFonts w:ascii="Arial" w:hAnsi="Arial"/>
          <w:sz w:val="18"/>
          <w:szCs w:val="18"/>
        </w:rPr>
      </w:pPr>
    </w:p>
    <w:p w14:paraId="1AEE0F09" w14:textId="5A4E55DE" w:rsidR="008532AA" w:rsidRDefault="008532AA" w:rsidP="008532AA">
      <w:pPr>
        <w:ind w:left="360"/>
        <w:rPr>
          <w:rFonts w:ascii="Arial" w:hAnsi="Arial"/>
          <w:sz w:val="18"/>
          <w:szCs w:val="18"/>
        </w:rPr>
      </w:pPr>
      <w:r w:rsidRPr="008532AA">
        <w:rPr>
          <w:rFonts w:ascii="Arial" w:hAnsi="Arial"/>
          <w:b/>
          <w:sz w:val="18"/>
          <w:szCs w:val="18"/>
          <w:u w:val="single"/>
        </w:rPr>
        <w:t xml:space="preserve">The following </w:t>
      </w:r>
      <w:r w:rsidR="000E4C6F">
        <w:rPr>
          <w:rFonts w:ascii="Arial" w:hAnsi="Arial"/>
          <w:b/>
          <w:sz w:val="18"/>
          <w:szCs w:val="18"/>
          <w:u w:val="single"/>
        </w:rPr>
        <w:t>A</w:t>
      </w:r>
      <w:r w:rsidRPr="008532AA">
        <w:rPr>
          <w:rFonts w:ascii="Arial" w:hAnsi="Arial"/>
          <w:b/>
          <w:sz w:val="18"/>
          <w:szCs w:val="18"/>
          <w:u w:val="single"/>
        </w:rPr>
        <w:t xml:space="preserve">pprovals </w:t>
      </w:r>
      <w:r>
        <w:rPr>
          <w:rFonts w:ascii="Arial" w:hAnsi="Arial"/>
          <w:b/>
          <w:sz w:val="18"/>
          <w:szCs w:val="18"/>
          <w:u w:val="single"/>
        </w:rPr>
        <w:t>transpired</w:t>
      </w:r>
      <w:r>
        <w:rPr>
          <w:rFonts w:ascii="Arial" w:hAnsi="Arial"/>
          <w:sz w:val="18"/>
          <w:szCs w:val="18"/>
        </w:rPr>
        <w:t>:</w:t>
      </w:r>
    </w:p>
    <w:p w14:paraId="677E3F80" w14:textId="77777777" w:rsidR="008532AA" w:rsidRPr="008532AA" w:rsidRDefault="008532AA" w:rsidP="008532AA">
      <w:pPr>
        <w:ind w:left="360"/>
        <w:rPr>
          <w:rFonts w:ascii="Arial" w:hAnsi="Arial"/>
          <w:sz w:val="18"/>
          <w:szCs w:val="18"/>
        </w:rPr>
      </w:pPr>
    </w:p>
    <w:p w14:paraId="3ABE591F" w14:textId="1C879EFA" w:rsidR="00BC5111" w:rsidRPr="008532AA" w:rsidRDefault="008532AA" w:rsidP="008532AA">
      <w:pPr>
        <w:pStyle w:val="ListParagraph"/>
        <w:numPr>
          <w:ilvl w:val="0"/>
          <w:numId w:val="30"/>
        </w:numPr>
        <w:rPr>
          <w:rFonts w:ascii="Arial" w:hAnsi="Arial"/>
          <w:color w:val="000000" w:themeColor="text1"/>
          <w:sz w:val="18"/>
          <w:szCs w:val="18"/>
        </w:rPr>
      </w:pPr>
      <w:r w:rsidRPr="008532AA">
        <w:rPr>
          <w:rFonts w:ascii="Arial" w:hAnsi="Arial"/>
          <w:color w:val="000000" w:themeColor="text1"/>
          <w:sz w:val="18"/>
          <w:szCs w:val="18"/>
        </w:rPr>
        <w:t>Toby Hinton</w:t>
      </w:r>
      <w:r w:rsidR="00BC5111" w:rsidRPr="008532AA">
        <w:rPr>
          <w:rFonts w:ascii="Arial" w:hAnsi="Arial"/>
          <w:color w:val="000000" w:themeColor="text1"/>
          <w:sz w:val="18"/>
          <w:szCs w:val="18"/>
        </w:rPr>
        <w:t xml:space="preserve"> </w:t>
      </w:r>
      <w:r w:rsidR="00617CCB" w:rsidRPr="008532AA">
        <w:rPr>
          <w:rFonts w:ascii="Arial" w:hAnsi="Arial"/>
          <w:color w:val="000000" w:themeColor="text1"/>
          <w:sz w:val="18"/>
          <w:szCs w:val="18"/>
        </w:rPr>
        <w:t>m</w:t>
      </w:r>
      <w:r w:rsidR="00BC5111" w:rsidRPr="008532AA">
        <w:rPr>
          <w:rFonts w:ascii="Arial" w:hAnsi="Arial"/>
          <w:color w:val="000000" w:themeColor="text1"/>
          <w:sz w:val="18"/>
          <w:szCs w:val="18"/>
        </w:rPr>
        <w:t xml:space="preserve">otioned </w:t>
      </w:r>
      <w:r w:rsidRPr="008532AA">
        <w:rPr>
          <w:rFonts w:ascii="Arial" w:hAnsi="Arial"/>
          <w:color w:val="000000" w:themeColor="text1"/>
          <w:sz w:val="18"/>
          <w:szCs w:val="18"/>
        </w:rPr>
        <w:t xml:space="preserve">for the Commission to </w:t>
      </w:r>
      <w:r w:rsidR="00BC5111" w:rsidRPr="008532AA">
        <w:rPr>
          <w:rFonts w:ascii="Arial" w:hAnsi="Arial"/>
          <w:b/>
          <w:color w:val="000000" w:themeColor="text1"/>
          <w:sz w:val="18"/>
          <w:szCs w:val="18"/>
        </w:rPr>
        <w:t>A</w:t>
      </w:r>
      <w:r w:rsidRPr="008532AA">
        <w:rPr>
          <w:rFonts w:ascii="Arial" w:hAnsi="Arial"/>
          <w:b/>
          <w:color w:val="000000" w:themeColor="text1"/>
          <w:sz w:val="18"/>
          <w:szCs w:val="18"/>
        </w:rPr>
        <w:t>LLOW</w:t>
      </w:r>
      <w:r w:rsidR="00BC5111" w:rsidRPr="008532AA">
        <w:rPr>
          <w:rFonts w:ascii="Arial" w:hAnsi="Arial"/>
          <w:color w:val="000000" w:themeColor="text1"/>
          <w:sz w:val="18"/>
          <w:szCs w:val="18"/>
        </w:rPr>
        <w:t xml:space="preserve"> the Administrative Law Judge to </w:t>
      </w:r>
      <w:r w:rsidRPr="008532AA">
        <w:rPr>
          <w:rFonts w:ascii="Arial" w:hAnsi="Arial"/>
          <w:color w:val="000000" w:themeColor="text1"/>
          <w:sz w:val="18"/>
          <w:szCs w:val="18"/>
        </w:rPr>
        <w:t xml:space="preserve">make the </w:t>
      </w:r>
      <w:r w:rsidR="0007178D">
        <w:rPr>
          <w:rFonts w:ascii="Arial" w:hAnsi="Arial"/>
          <w:color w:val="000000" w:themeColor="text1"/>
          <w:sz w:val="18"/>
          <w:szCs w:val="18"/>
        </w:rPr>
        <w:t>initial</w:t>
      </w:r>
      <w:r w:rsidRPr="008532AA">
        <w:rPr>
          <w:rFonts w:ascii="Arial" w:hAnsi="Arial"/>
          <w:color w:val="000000" w:themeColor="text1"/>
          <w:sz w:val="18"/>
          <w:szCs w:val="18"/>
        </w:rPr>
        <w:t xml:space="preserve"> decision of SIFT Institute’s appeal, but subject to the Commission’s approval</w:t>
      </w:r>
      <w:r w:rsidR="0007178D">
        <w:rPr>
          <w:rFonts w:ascii="Arial" w:hAnsi="Arial"/>
          <w:color w:val="000000" w:themeColor="text1"/>
          <w:sz w:val="18"/>
          <w:szCs w:val="18"/>
        </w:rPr>
        <w:t xml:space="preserve"> for the final decision</w:t>
      </w:r>
      <w:r w:rsidR="00BC5111" w:rsidRPr="008532AA">
        <w:rPr>
          <w:rFonts w:ascii="Arial" w:hAnsi="Arial"/>
          <w:color w:val="000000" w:themeColor="text1"/>
          <w:sz w:val="18"/>
          <w:szCs w:val="18"/>
        </w:rPr>
        <w:t>.</w:t>
      </w:r>
      <w:r w:rsidRPr="008532AA">
        <w:rPr>
          <w:rFonts w:ascii="Arial" w:hAnsi="Arial"/>
          <w:color w:val="000000" w:themeColor="text1"/>
          <w:sz w:val="18"/>
          <w:szCs w:val="18"/>
        </w:rPr>
        <w:t xml:space="preserve">  Amanda Shailendra</w:t>
      </w:r>
      <w:r w:rsidR="00BB6B68" w:rsidRPr="008532AA">
        <w:rPr>
          <w:rFonts w:ascii="Arial" w:hAnsi="Arial"/>
          <w:color w:val="000000" w:themeColor="text1"/>
          <w:sz w:val="18"/>
          <w:szCs w:val="18"/>
        </w:rPr>
        <w:t xml:space="preserve"> seconded the motion.</w:t>
      </w:r>
    </w:p>
    <w:p w14:paraId="2CDBFB4B" w14:textId="0E4443D7" w:rsidR="009B48C7" w:rsidRDefault="009B48C7" w:rsidP="00BC5111">
      <w:pPr>
        <w:ind w:left="360"/>
        <w:rPr>
          <w:rFonts w:ascii="Arial" w:hAnsi="Arial"/>
          <w:color w:val="000000" w:themeColor="text1"/>
          <w:sz w:val="18"/>
          <w:szCs w:val="18"/>
        </w:rPr>
      </w:pPr>
    </w:p>
    <w:p w14:paraId="61479211" w14:textId="62CCCA15" w:rsidR="009B48C7" w:rsidRPr="00D00ABB" w:rsidRDefault="009B48C7" w:rsidP="008532AA">
      <w:pPr>
        <w:ind w:left="720"/>
        <w:rPr>
          <w:rFonts w:ascii="Arial" w:hAnsi="Arial"/>
          <w:sz w:val="18"/>
          <w:szCs w:val="18"/>
        </w:rPr>
      </w:pPr>
      <w:r w:rsidRPr="00D00ABB">
        <w:rPr>
          <w:rFonts w:ascii="Arial" w:hAnsi="Arial"/>
          <w:sz w:val="18"/>
          <w:szCs w:val="18"/>
        </w:rPr>
        <w:t xml:space="preserve">Upon unanimous vote it was </w:t>
      </w:r>
      <w:r w:rsidRPr="001E41CD">
        <w:rPr>
          <w:rFonts w:ascii="Arial" w:hAnsi="Arial"/>
          <w:b/>
          <w:sz w:val="18"/>
          <w:szCs w:val="18"/>
        </w:rPr>
        <w:t>RESOLVED</w:t>
      </w:r>
      <w:r>
        <w:rPr>
          <w:rFonts w:ascii="Arial" w:hAnsi="Arial"/>
          <w:sz w:val="18"/>
          <w:szCs w:val="18"/>
        </w:rPr>
        <w:t xml:space="preserve"> that the Administrative Law Judge </w:t>
      </w:r>
      <w:r w:rsidR="008532AA">
        <w:rPr>
          <w:rFonts w:ascii="Arial" w:hAnsi="Arial"/>
          <w:sz w:val="18"/>
          <w:szCs w:val="18"/>
        </w:rPr>
        <w:t xml:space="preserve">will make the </w:t>
      </w:r>
      <w:r w:rsidR="0007178D">
        <w:rPr>
          <w:rFonts w:ascii="Arial" w:hAnsi="Arial"/>
          <w:sz w:val="18"/>
          <w:szCs w:val="18"/>
        </w:rPr>
        <w:t>initial</w:t>
      </w:r>
      <w:r w:rsidR="008532AA">
        <w:rPr>
          <w:rFonts w:ascii="Arial" w:hAnsi="Arial"/>
          <w:sz w:val="18"/>
          <w:szCs w:val="18"/>
        </w:rPr>
        <w:t xml:space="preserve"> decision of</w:t>
      </w:r>
      <w:r w:rsidR="0007178D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SIFT Institute</w:t>
      </w:r>
      <w:r w:rsidR="008532AA">
        <w:rPr>
          <w:rFonts w:ascii="Arial" w:hAnsi="Arial"/>
          <w:sz w:val="18"/>
          <w:szCs w:val="18"/>
        </w:rPr>
        <w:t xml:space="preserve">’s </w:t>
      </w:r>
      <w:r>
        <w:rPr>
          <w:rFonts w:ascii="Arial" w:hAnsi="Arial"/>
          <w:sz w:val="18"/>
          <w:szCs w:val="18"/>
        </w:rPr>
        <w:t xml:space="preserve">appeal, </w:t>
      </w:r>
      <w:r w:rsidR="008532AA">
        <w:rPr>
          <w:rFonts w:ascii="Arial" w:hAnsi="Arial"/>
          <w:sz w:val="18"/>
          <w:szCs w:val="18"/>
        </w:rPr>
        <w:t>but subject to the Commission’s approval</w:t>
      </w:r>
      <w:r w:rsidR="0007178D">
        <w:rPr>
          <w:rFonts w:ascii="Arial" w:hAnsi="Arial"/>
          <w:sz w:val="18"/>
          <w:szCs w:val="18"/>
        </w:rPr>
        <w:t xml:space="preserve"> for the final decision</w:t>
      </w:r>
      <w:r w:rsidR="008532AA">
        <w:rPr>
          <w:rFonts w:ascii="Arial" w:hAnsi="Arial"/>
          <w:sz w:val="18"/>
          <w:szCs w:val="18"/>
        </w:rPr>
        <w:t xml:space="preserve">, </w:t>
      </w:r>
      <w:r w:rsidR="008532AA" w:rsidRPr="008532AA">
        <w:rPr>
          <w:rFonts w:ascii="Arial" w:hAnsi="Arial"/>
          <w:b/>
          <w:sz w:val="18"/>
          <w:szCs w:val="18"/>
        </w:rPr>
        <w:t>be adopted</w:t>
      </w:r>
      <w:r w:rsidR="008532AA">
        <w:rPr>
          <w:rFonts w:ascii="Arial" w:hAnsi="Arial"/>
          <w:sz w:val="18"/>
          <w:szCs w:val="18"/>
        </w:rPr>
        <w:t>.</w:t>
      </w:r>
    </w:p>
    <w:p w14:paraId="6BEB4F8B" w14:textId="77777777" w:rsidR="009B48C7" w:rsidRDefault="009B48C7" w:rsidP="00BC5111">
      <w:pPr>
        <w:ind w:left="360"/>
        <w:rPr>
          <w:rFonts w:ascii="Arial" w:hAnsi="Arial"/>
          <w:color w:val="000000" w:themeColor="text1"/>
          <w:sz w:val="18"/>
          <w:szCs w:val="18"/>
        </w:rPr>
      </w:pPr>
    </w:p>
    <w:p w14:paraId="2235E3D8" w14:textId="6FEBD050" w:rsidR="008532AA" w:rsidRPr="008532AA" w:rsidRDefault="008532AA" w:rsidP="008532AA">
      <w:pPr>
        <w:pStyle w:val="ListParagraph"/>
        <w:numPr>
          <w:ilvl w:val="0"/>
          <w:numId w:val="30"/>
        </w:numPr>
        <w:rPr>
          <w:rFonts w:ascii="Arial" w:hAnsi="Arial"/>
          <w:color w:val="000000" w:themeColor="text1"/>
          <w:sz w:val="18"/>
          <w:szCs w:val="18"/>
        </w:rPr>
      </w:pPr>
      <w:r w:rsidRPr="008532AA">
        <w:rPr>
          <w:rFonts w:ascii="Arial" w:hAnsi="Arial"/>
          <w:color w:val="000000" w:themeColor="text1"/>
          <w:sz w:val="18"/>
          <w:szCs w:val="18"/>
        </w:rPr>
        <w:t>Karen Gilbert motioned for the Commission to have the option to request additional information of evidence, subject to OSA</w:t>
      </w:r>
      <w:r w:rsidR="009525CA">
        <w:rPr>
          <w:rFonts w:ascii="Arial" w:hAnsi="Arial"/>
          <w:color w:val="000000" w:themeColor="text1"/>
          <w:sz w:val="18"/>
          <w:szCs w:val="18"/>
        </w:rPr>
        <w:t>H</w:t>
      </w:r>
      <w:r w:rsidRPr="008532AA">
        <w:rPr>
          <w:rFonts w:ascii="Arial" w:hAnsi="Arial"/>
          <w:color w:val="000000" w:themeColor="text1"/>
          <w:sz w:val="18"/>
          <w:szCs w:val="18"/>
        </w:rPr>
        <w:t xml:space="preserve"> rules, after reviewing the ALJ’s </w:t>
      </w:r>
      <w:r w:rsidR="0007178D">
        <w:rPr>
          <w:rFonts w:ascii="Arial" w:hAnsi="Arial"/>
          <w:color w:val="000000" w:themeColor="text1"/>
          <w:sz w:val="18"/>
          <w:szCs w:val="18"/>
        </w:rPr>
        <w:t xml:space="preserve">initial </w:t>
      </w:r>
      <w:r w:rsidRPr="008532AA">
        <w:rPr>
          <w:rFonts w:ascii="Arial" w:hAnsi="Arial"/>
          <w:color w:val="000000" w:themeColor="text1"/>
          <w:sz w:val="18"/>
          <w:szCs w:val="18"/>
        </w:rPr>
        <w:t>decision. Victoria Agyekum seconded the motion.</w:t>
      </w:r>
    </w:p>
    <w:p w14:paraId="11CC7808" w14:textId="6C257ADC" w:rsidR="008532AA" w:rsidRDefault="008532AA" w:rsidP="001300B0">
      <w:pPr>
        <w:ind w:left="360"/>
        <w:rPr>
          <w:rFonts w:ascii="Arial" w:hAnsi="Arial"/>
          <w:color w:val="000000" w:themeColor="text1"/>
          <w:sz w:val="18"/>
          <w:szCs w:val="18"/>
        </w:rPr>
      </w:pPr>
    </w:p>
    <w:p w14:paraId="74E72D59" w14:textId="4D8128B7" w:rsidR="008532AA" w:rsidRDefault="008532AA" w:rsidP="008532AA">
      <w:pPr>
        <w:ind w:left="720"/>
        <w:rPr>
          <w:rFonts w:ascii="Arial" w:hAnsi="Arial"/>
          <w:color w:val="000000" w:themeColor="text1"/>
          <w:sz w:val="18"/>
          <w:szCs w:val="18"/>
        </w:rPr>
      </w:pPr>
      <w:r>
        <w:rPr>
          <w:rFonts w:ascii="Arial" w:hAnsi="Arial"/>
          <w:color w:val="000000" w:themeColor="text1"/>
          <w:sz w:val="18"/>
          <w:szCs w:val="18"/>
        </w:rPr>
        <w:t xml:space="preserve">Upon unanimous vote it was </w:t>
      </w:r>
      <w:r>
        <w:rPr>
          <w:rFonts w:ascii="Arial" w:hAnsi="Arial"/>
          <w:b/>
          <w:color w:val="000000" w:themeColor="text1"/>
          <w:sz w:val="18"/>
          <w:szCs w:val="18"/>
        </w:rPr>
        <w:t xml:space="preserve">RESOLVED </w:t>
      </w:r>
      <w:r>
        <w:rPr>
          <w:rFonts w:ascii="Arial" w:hAnsi="Arial"/>
          <w:color w:val="000000" w:themeColor="text1"/>
          <w:sz w:val="18"/>
          <w:szCs w:val="18"/>
        </w:rPr>
        <w:t>that the Commission have the option to ask the ALJ for additional information of evidence, subject to OSA</w:t>
      </w:r>
      <w:r w:rsidR="009525CA">
        <w:rPr>
          <w:rFonts w:ascii="Arial" w:hAnsi="Arial"/>
          <w:color w:val="000000" w:themeColor="text1"/>
          <w:sz w:val="18"/>
          <w:szCs w:val="18"/>
        </w:rPr>
        <w:t>H</w:t>
      </w:r>
      <w:r>
        <w:rPr>
          <w:rFonts w:ascii="Arial" w:hAnsi="Arial"/>
          <w:color w:val="000000" w:themeColor="text1"/>
          <w:sz w:val="18"/>
          <w:szCs w:val="18"/>
        </w:rPr>
        <w:t xml:space="preserve"> rules, after reviewing the ALJ’s </w:t>
      </w:r>
      <w:r w:rsidR="0007178D">
        <w:rPr>
          <w:rFonts w:ascii="Arial" w:hAnsi="Arial"/>
          <w:color w:val="000000" w:themeColor="text1"/>
          <w:sz w:val="18"/>
          <w:szCs w:val="18"/>
        </w:rPr>
        <w:t xml:space="preserve">initial </w:t>
      </w:r>
      <w:r>
        <w:rPr>
          <w:rFonts w:ascii="Arial" w:hAnsi="Arial"/>
          <w:color w:val="000000" w:themeColor="text1"/>
          <w:sz w:val="18"/>
          <w:szCs w:val="18"/>
        </w:rPr>
        <w:t xml:space="preserve">decision, </w:t>
      </w:r>
      <w:r w:rsidRPr="008532AA">
        <w:rPr>
          <w:rFonts w:ascii="Arial" w:hAnsi="Arial"/>
          <w:b/>
          <w:color w:val="000000" w:themeColor="text1"/>
          <w:sz w:val="18"/>
          <w:szCs w:val="18"/>
        </w:rPr>
        <w:t>be adopted</w:t>
      </w:r>
      <w:r>
        <w:rPr>
          <w:rFonts w:ascii="Arial" w:hAnsi="Arial"/>
          <w:color w:val="000000" w:themeColor="text1"/>
          <w:sz w:val="18"/>
          <w:szCs w:val="18"/>
        </w:rPr>
        <w:t>.</w:t>
      </w:r>
    </w:p>
    <w:p w14:paraId="49FA0C38" w14:textId="18B39910" w:rsidR="008532AA" w:rsidRDefault="008532AA" w:rsidP="001300B0">
      <w:pPr>
        <w:ind w:left="360"/>
        <w:rPr>
          <w:rFonts w:ascii="Arial" w:hAnsi="Arial"/>
          <w:color w:val="000000" w:themeColor="text1"/>
          <w:sz w:val="18"/>
          <w:szCs w:val="18"/>
        </w:rPr>
      </w:pPr>
    </w:p>
    <w:p w14:paraId="48C6AF31" w14:textId="797D7DFF" w:rsidR="008532AA" w:rsidRPr="008532AA" w:rsidRDefault="008532AA" w:rsidP="008532AA">
      <w:pPr>
        <w:pStyle w:val="ListParagraph"/>
        <w:numPr>
          <w:ilvl w:val="0"/>
          <w:numId w:val="30"/>
        </w:numPr>
        <w:rPr>
          <w:rFonts w:ascii="Arial" w:hAnsi="Arial"/>
          <w:color w:val="000000" w:themeColor="text1"/>
          <w:sz w:val="18"/>
          <w:szCs w:val="18"/>
        </w:rPr>
      </w:pPr>
      <w:r w:rsidRPr="008532AA">
        <w:rPr>
          <w:rFonts w:ascii="Arial" w:hAnsi="Arial"/>
          <w:color w:val="000000" w:themeColor="text1"/>
          <w:sz w:val="18"/>
          <w:szCs w:val="18"/>
        </w:rPr>
        <w:t xml:space="preserve">Toby Hinton motioned that the requirement of three Commission members attend the ALJ hearing, </w:t>
      </w:r>
      <w:r w:rsidRPr="008532AA">
        <w:rPr>
          <w:rFonts w:ascii="Arial" w:hAnsi="Arial"/>
          <w:b/>
          <w:color w:val="000000" w:themeColor="text1"/>
          <w:sz w:val="18"/>
          <w:szCs w:val="18"/>
        </w:rPr>
        <w:t>NOT BE ENFORCED</w:t>
      </w:r>
      <w:r w:rsidRPr="008532AA">
        <w:rPr>
          <w:rFonts w:ascii="Arial" w:hAnsi="Arial"/>
          <w:color w:val="000000" w:themeColor="text1"/>
          <w:sz w:val="18"/>
          <w:szCs w:val="18"/>
        </w:rPr>
        <w:t>. Commissioners can attend at their own discretion.  Mollie Cohen seconded the motion.</w:t>
      </w:r>
    </w:p>
    <w:p w14:paraId="40151374" w14:textId="0398290E" w:rsidR="008532AA" w:rsidRDefault="008532AA" w:rsidP="001300B0">
      <w:pPr>
        <w:ind w:left="360"/>
        <w:rPr>
          <w:rFonts w:ascii="Arial" w:hAnsi="Arial"/>
          <w:color w:val="000000" w:themeColor="text1"/>
          <w:sz w:val="18"/>
          <w:szCs w:val="18"/>
        </w:rPr>
      </w:pPr>
    </w:p>
    <w:p w14:paraId="7F6B9E60" w14:textId="07A92DCD" w:rsidR="008532AA" w:rsidRPr="008532AA" w:rsidRDefault="008532AA" w:rsidP="008532AA">
      <w:pPr>
        <w:ind w:left="720"/>
        <w:rPr>
          <w:rFonts w:ascii="Arial" w:hAnsi="Arial"/>
          <w:color w:val="000000" w:themeColor="text1"/>
          <w:sz w:val="18"/>
          <w:szCs w:val="18"/>
        </w:rPr>
      </w:pPr>
      <w:r>
        <w:rPr>
          <w:rFonts w:ascii="Arial" w:hAnsi="Arial"/>
          <w:color w:val="000000" w:themeColor="text1"/>
          <w:sz w:val="18"/>
          <w:szCs w:val="18"/>
        </w:rPr>
        <w:t xml:space="preserve">Upon unanimous vote it was </w:t>
      </w:r>
      <w:r>
        <w:rPr>
          <w:rFonts w:ascii="Arial" w:hAnsi="Arial"/>
          <w:b/>
          <w:color w:val="000000" w:themeColor="text1"/>
          <w:sz w:val="18"/>
          <w:szCs w:val="18"/>
        </w:rPr>
        <w:t xml:space="preserve">RESOLVED </w:t>
      </w:r>
      <w:r>
        <w:rPr>
          <w:rFonts w:ascii="Arial" w:hAnsi="Arial"/>
          <w:color w:val="000000" w:themeColor="text1"/>
          <w:sz w:val="18"/>
          <w:szCs w:val="18"/>
        </w:rPr>
        <w:t xml:space="preserve">that the requirement of three Commission members attend the ALJ hearing, not be enforced, </w:t>
      </w:r>
      <w:r w:rsidRPr="008532AA">
        <w:rPr>
          <w:rFonts w:ascii="Arial" w:hAnsi="Arial"/>
          <w:b/>
          <w:color w:val="000000" w:themeColor="text1"/>
          <w:sz w:val="18"/>
          <w:szCs w:val="18"/>
        </w:rPr>
        <w:t>be adopted</w:t>
      </w:r>
      <w:r>
        <w:rPr>
          <w:rFonts w:ascii="Arial" w:hAnsi="Arial"/>
          <w:color w:val="000000" w:themeColor="text1"/>
          <w:sz w:val="18"/>
          <w:szCs w:val="18"/>
        </w:rPr>
        <w:t>.</w:t>
      </w:r>
    </w:p>
    <w:p w14:paraId="14BAAEA6" w14:textId="58CACFC6" w:rsidR="008532AA" w:rsidRDefault="008532AA" w:rsidP="001300B0">
      <w:pPr>
        <w:ind w:left="360"/>
        <w:rPr>
          <w:rFonts w:ascii="Arial" w:hAnsi="Arial"/>
          <w:color w:val="000000" w:themeColor="text1"/>
          <w:sz w:val="18"/>
          <w:szCs w:val="18"/>
        </w:rPr>
      </w:pPr>
    </w:p>
    <w:p w14:paraId="7791C4FB" w14:textId="146ECBC4" w:rsidR="008532AA" w:rsidRPr="008532AA" w:rsidRDefault="008532AA" w:rsidP="008532AA">
      <w:pPr>
        <w:pStyle w:val="ListParagraph"/>
        <w:numPr>
          <w:ilvl w:val="0"/>
          <w:numId w:val="30"/>
        </w:numPr>
        <w:rPr>
          <w:rFonts w:ascii="Arial" w:hAnsi="Arial"/>
          <w:color w:val="000000" w:themeColor="text1"/>
          <w:sz w:val="18"/>
          <w:szCs w:val="18"/>
        </w:rPr>
      </w:pPr>
      <w:r w:rsidRPr="008532AA">
        <w:rPr>
          <w:rFonts w:ascii="Arial" w:hAnsi="Arial"/>
          <w:color w:val="000000" w:themeColor="text1"/>
          <w:sz w:val="18"/>
          <w:szCs w:val="18"/>
        </w:rPr>
        <w:t xml:space="preserve">Chair Kirbo motioned that the Commission </w:t>
      </w:r>
      <w:r w:rsidRPr="008532AA">
        <w:rPr>
          <w:rFonts w:ascii="Arial" w:hAnsi="Arial"/>
          <w:b/>
          <w:color w:val="000000" w:themeColor="text1"/>
          <w:sz w:val="18"/>
          <w:szCs w:val="18"/>
        </w:rPr>
        <w:t xml:space="preserve">MODIFY </w:t>
      </w:r>
      <w:r w:rsidRPr="008532AA">
        <w:rPr>
          <w:rFonts w:ascii="Arial" w:hAnsi="Arial"/>
          <w:color w:val="000000" w:themeColor="text1"/>
          <w:sz w:val="18"/>
          <w:szCs w:val="18"/>
        </w:rPr>
        <w:t>OSA</w:t>
      </w:r>
      <w:r w:rsidR="009525CA">
        <w:rPr>
          <w:rFonts w:ascii="Arial" w:hAnsi="Arial"/>
          <w:color w:val="000000" w:themeColor="text1"/>
          <w:sz w:val="18"/>
          <w:szCs w:val="18"/>
        </w:rPr>
        <w:t>H</w:t>
      </w:r>
      <w:r w:rsidRPr="008532AA">
        <w:rPr>
          <w:rFonts w:ascii="Arial" w:hAnsi="Arial"/>
          <w:color w:val="000000" w:themeColor="text1"/>
          <w:sz w:val="18"/>
          <w:szCs w:val="18"/>
        </w:rPr>
        <w:t xml:space="preserve"> rule</w:t>
      </w:r>
      <w:r w:rsidR="009525CA">
        <w:rPr>
          <w:rFonts w:ascii="Arial" w:hAnsi="Arial"/>
          <w:color w:val="000000" w:themeColor="text1"/>
          <w:sz w:val="18"/>
          <w:szCs w:val="18"/>
        </w:rPr>
        <w:t>s</w:t>
      </w:r>
      <w:r w:rsidRPr="008532AA">
        <w:rPr>
          <w:rFonts w:ascii="Arial" w:hAnsi="Arial"/>
          <w:color w:val="000000" w:themeColor="text1"/>
          <w:sz w:val="18"/>
          <w:szCs w:val="18"/>
        </w:rPr>
        <w:t xml:space="preserve"> to similarly read, </w:t>
      </w:r>
      <w:r w:rsidR="0007178D">
        <w:rPr>
          <w:rFonts w:ascii="Arial" w:hAnsi="Arial"/>
          <w:color w:val="000000" w:themeColor="text1"/>
          <w:sz w:val="18"/>
          <w:szCs w:val="18"/>
        </w:rPr>
        <w:t>“</w:t>
      </w:r>
      <w:r w:rsidRPr="008532AA">
        <w:rPr>
          <w:rFonts w:ascii="Arial" w:hAnsi="Arial"/>
          <w:color w:val="000000" w:themeColor="text1"/>
          <w:sz w:val="18"/>
          <w:szCs w:val="18"/>
        </w:rPr>
        <w:t xml:space="preserve">Upon the ALJ issuing an opinion, the Commission must schedule a Special Called Meeting within 30 days or next scheduled Commission meeting to discuss ALJ’s </w:t>
      </w:r>
      <w:r w:rsidR="0007178D">
        <w:rPr>
          <w:rFonts w:ascii="Arial" w:hAnsi="Arial"/>
          <w:color w:val="000000" w:themeColor="text1"/>
          <w:sz w:val="18"/>
          <w:szCs w:val="18"/>
        </w:rPr>
        <w:t xml:space="preserve">initial </w:t>
      </w:r>
      <w:r w:rsidRPr="008532AA">
        <w:rPr>
          <w:rFonts w:ascii="Arial" w:hAnsi="Arial"/>
          <w:color w:val="000000" w:themeColor="text1"/>
          <w:sz w:val="18"/>
          <w:szCs w:val="18"/>
        </w:rPr>
        <w:t>decision.</w:t>
      </w:r>
      <w:r w:rsidR="0007178D">
        <w:rPr>
          <w:rFonts w:ascii="Arial" w:hAnsi="Arial"/>
          <w:color w:val="000000" w:themeColor="text1"/>
          <w:sz w:val="18"/>
          <w:szCs w:val="18"/>
        </w:rPr>
        <w:t>”</w:t>
      </w:r>
      <w:r w:rsidRPr="008532AA">
        <w:rPr>
          <w:rFonts w:ascii="Arial" w:hAnsi="Arial"/>
          <w:color w:val="000000" w:themeColor="text1"/>
          <w:sz w:val="18"/>
          <w:szCs w:val="18"/>
        </w:rPr>
        <w:t xml:space="preserve">  Lee Todd seconded the motion.</w:t>
      </w:r>
    </w:p>
    <w:p w14:paraId="33056733" w14:textId="7154F162" w:rsidR="008532AA" w:rsidRDefault="008532AA" w:rsidP="001300B0">
      <w:pPr>
        <w:ind w:left="360"/>
        <w:rPr>
          <w:rFonts w:ascii="Arial" w:hAnsi="Arial"/>
          <w:color w:val="000000" w:themeColor="text1"/>
          <w:sz w:val="18"/>
          <w:szCs w:val="18"/>
        </w:rPr>
      </w:pPr>
    </w:p>
    <w:p w14:paraId="62BD1EFB" w14:textId="121586F2" w:rsidR="008532AA" w:rsidRDefault="008532AA" w:rsidP="008532AA">
      <w:pPr>
        <w:ind w:left="720"/>
        <w:rPr>
          <w:rFonts w:ascii="Arial" w:hAnsi="Arial"/>
          <w:color w:val="000000" w:themeColor="text1"/>
          <w:sz w:val="18"/>
          <w:szCs w:val="18"/>
        </w:rPr>
      </w:pPr>
      <w:r>
        <w:rPr>
          <w:rFonts w:ascii="Arial" w:hAnsi="Arial"/>
          <w:color w:val="000000" w:themeColor="text1"/>
          <w:sz w:val="18"/>
          <w:szCs w:val="18"/>
        </w:rPr>
        <w:t xml:space="preserve">Upon unanimous vote it was </w:t>
      </w:r>
      <w:r>
        <w:rPr>
          <w:rFonts w:ascii="Arial" w:hAnsi="Arial"/>
          <w:b/>
          <w:color w:val="000000" w:themeColor="text1"/>
          <w:sz w:val="18"/>
          <w:szCs w:val="18"/>
        </w:rPr>
        <w:t xml:space="preserve">RESOLVED </w:t>
      </w:r>
      <w:r>
        <w:rPr>
          <w:rFonts w:ascii="Arial" w:hAnsi="Arial"/>
          <w:color w:val="000000" w:themeColor="text1"/>
          <w:sz w:val="18"/>
          <w:szCs w:val="18"/>
        </w:rPr>
        <w:t>that the Commission modify OSA</w:t>
      </w:r>
      <w:r w:rsidR="009525CA">
        <w:rPr>
          <w:rFonts w:ascii="Arial" w:hAnsi="Arial"/>
          <w:color w:val="000000" w:themeColor="text1"/>
          <w:sz w:val="18"/>
          <w:szCs w:val="18"/>
        </w:rPr>
        <w:t>H</w:t>
      </w:r>
      <w:r>
        <w:rPr>
          <w:rFonts w:ascii="Arial" w:hAnsi="Arial"/>
          <w:color w:val="000000" w:themeColor="text1"/>
          <w:sz w:val="18"/>
          <w:szCs w:val="18"/>
        </w:rPr>
        <w:t xml:space="preserve"> rule</w:t>
      </w:r>
      <w:r w:rsidR="009525CA">
        <w:rPr>
          <w:rFonts w:ascii="Arial" w:hAnsi="Arial"/>
          <w:color w:val="000000" w:themeColor="text1"/>
          <w:sz w:val="18"/>
          <w:szCs w:val="18"/>
        </w:rPr>
        <w:t>s</w:t>
      </w:r>
      <w:bookmarkStart w:id="1" w:name="_GoBack"/>
      <w:bookmarkEnd w:id="1"/>
      <w:r>
        <w:rPr>
          <w:rFonts w:ascii="Arial" w:hAnsi="Arial"/>
          <w:color w:val="000000" w:themeColor="text1"/>
          <w:sz w:val="18"/>
          <w:szCs w:val="18"/>
        </w:rPr>
        <w:t xml:space="preserve"> to similarly read, </w:t>
      </w:r>
      <w:r w:rsidR="0007178D">
        <w:rPr>
          <w:rFonts w:ascii="Arial" w:hAnsi="Arial"/>
          <w:color w:val="000000" w:themeColor="text1"/>
          <w:sz w:val="18"/>
          <w:szCs w:val="18"/>
        </w:rPr>
        <w:t>“</w:t>
      </w:r>
      <w:r>
        <w:rPr>
          <w:rFonts w:ascii="Arial" w:hAnsi="Arial"/>
          <w:color w:val="000000" w:themeColor="text1"/>
          <w:sz w:val="18"/>
          <w:szCs w:val="18"/>
        </w:rPr>
        <w:t xml:space="preserve">Upon the ALJ issuing an opinion, the Commission must schedule a Special Called Meeting within 30 days or next scheduled Commission meeting to discuss ALJ’s </w:t>
      </w:r>
      <w:r w:rsidR="0007178D">
        <w:rPr>
          <w:rFonts w:ascii="Arial" w:hAnsi="Arial"/>
          <w:color w:val="000000" w:themeColor="text1"/>
          <w:sz w:val="18"/>
          <w:szCs w:val="18"/>
        </w:rPr>
        <w:t xml:space="preserve">initial </w:t>
      </w:r>
      <w:r>
        <w:rPr>
          <w:rFonts w:ascii="Arial" w:hAnsi="Arial"/>
          <w:color w:val="000000" w:themeColor="text1"/>
          <w:sz w:val="18"/>
          <w:szCs w:val="18"/>
        </w:rPr>
        <w:t>decision,</w:t>
      </w:r>
      <w:r w:rsidR="0007178D">
        <w:rPr>
          <w:rFonts w:ascii="Arial" w:hAnsi="Arial"/>
          <w:color w:val="000000" w:themeColor="text1"/>
          <w:sz w:val="18"/>
          <w:szCs w:val="18"/>
        </w:rPr>
        <w:t>”</w:t>
      </w:r>
      <w:r>
        <w:rPr>
          <w:rFonts w:ascii="Arial" w:hAnsi="Arial"/>
          <w:color w:val="000000" w:themeColor="text1"/>
          <w:sz w:val="18"/>
          <w:szCs w:val="18"/>
        </w:rPr>
        <w:t xml:space="preserve"> </w:t>
      </w:r>
      <w:r w:rsidRPr="008532AA">
        <w:rPr>
          <w:rFonts w:ascii="Arial" w:hAnsi="Arial"/>
          <w:b/>
          <w:color w:val="000000" w:themeColor="text1"/>
          <w:sz w:val="18"/>
          <w:szCs w:val="18"/>
        </w:rPr>
        <w:t>be adopted</w:t>
      </w:r>
      <w:r>
        <w:rPr>
          <w:rFonts w:ascii="Arial" w:hAnsi="Arial"/>
          <w:color w:val="000000" w:themeColor="text1"/>
          <w:sz w:val="18"/>
          <w:szCs w:val="18"/>
        </w:rPr>
        <w:t>.</w:t>
      </w:r>
    </w:p>
    <w:p w14:paraId="2B04C297" w14:textId="77777777" w:rsidR="008532AA" w:rsidRDefault="008532AA" w:rsidP="008532AA">
      <w:pPr>
        <w:ind w:left="720"/>
        <w:rPr>
          <w:rFonts w:ascii="Arial" w:hAnsi="Arial"/>
          <w:color w:val="000000" w:themeColor="text1"/>
          <w:sz w:val="18"/>
          <w:szCs w:val="18"/>
        </w:rPr>
      </w:pPr>
    </w:p>
    <w:p w14:paraId="0863D9C2" w14:textId="21BB0AF7" w:rsidR="008532AA" w:rsidRDefault="008532AA" w:rsidP="008532AA">
      <w:pPr>
        <w:pStyle w:val="ListParagraph"/>
        <w:numPr>
          <w:ilvl w:val="0"/>
          <w:numId w:val="30"/>
        </w:numPr>
        <w:rPr>
          <w:rFonts w:ascii="Arial" w:hAnsi="Arial"/>
          <w:color w:val="000000" w:themeColor="text1"/>
          <w:sz w:val="18"/>
          <w:szCs w:val="18"/>
        </w:rPr>
      </w:pPr>
      <w:r>
        <w:rPr>
          <w:rFonts w:ascii="Arial" w:hAnsi="Arial"/>
          <w:color w:val="000000" w:themeColor="text1"/>
          <w:sz w:val="18"/>
          <w:szCs w:val="18"/>
        </w:rPr>
        <w:t xml:space="preserve">Holly Kirbo motioned that the Commission move to </w:t>
      </w:r>
      <w:r w:rsidRPr="00E17E50">
        <w:rPr>
          <w:rFonts w:ascii="Arial" w:hAnsi="Arial"/>
          <w:b/>
          <w:color w:val="000000" w:themeColor="text1"/>
          <w:sz w:val="18"/>
          <w:szCs w:val="18"/>
        </w:rPr>
        <w:t>ADOPT</w:t>
      </w:r>
      <w:r>
        <w:rPr>
          <w:rFonts w:ascii="Arial" w:hAnsi="Arial"/>
          <w:color w:val="000000" w:themeColor="text1"/>
          <w:sz w:val="18"/>
          <w:szCs w:val="18"/>
        </w:rPr>
        <w:t xml:space="preserve"> this “Future Process” of an ALJ hearing as an initial decision, subject to the Commission final approval </w:t>
      </w:r>
      <w:r w:rsidR="0007178D">
        <w:rPr>
          <w:rFonts w:ascii="Arial" w:hAnsi="Arial"/>
          <w:color w:val="000000" w:themeColor="text1"/>
          <w:sz w:val="18"/>
          <w:szCs w:val="18"/>
        </w:rPr>
        <w:t xml:space="preserve">for the final decision </w:t>
      </w:r>
      <w:r>
        <w:rPr>
          <w:rFonts w:ascii="Arial" w:hAnsi="Arial"/>
          <w:color w:val="000000" w:themeColor="text1"/>
          <w:sz w:val="18"/>
          <w:szCs w:val="18"/>
        </w:rPr>
        <w:t>as the “Future Process”, unless the Commission decide to change at any time.</w:t>
      </w:r>
    </w:p>
    <w:p w14:paraId="066BBAC0" w14:textId="6DE8042E" w:rsidR="008532AA" w:rsidRDefault="008532AA" w:rsidP="008532AA">
      <w:pPr>
        <w:pStyle w:val="ListParagraph"/>
        <w:rPr>
          <w:rFonts w:ascii="Arial" w:hAnsi="Arial"/>
          <w:color w:val="000000" w:themeColor="text1"/>
          <w:sz w:val="18"/>
          <w:szCs w:val="18"/>
        </w:rPr>
      </w:pPr>
    </w:p>
    <w:p w14:paraId="78F54DE5" w14:textId="18AF794B" w:rsidR="008532AA" w:rsidRDefault="008532AA" w:rsidP="008532AA">
      <w:pPr>
        <w:pStyle w:val="ListParagraph"/>
        <w:rPr>
          <w:rFonts w:ascii="Arial" w:hAnsi="Arial"/>
          <w:color w:val="000000" w:themeColor="text1"/>
          <w:sz w:val="18"/>
          <w:szCs w:val="18"/>
        </w:rPr>
      </w:pPr>
      <w:r>
        <w:rPr>
          <w:rFonts w:ascii="Arial" w:hAnsi="Arial"/>
          <w:color w:val="000000" w:themeColor="text1"/>
          <w:sz w:val="18"/>
          <w:szCs w:val="18"/>
        </w:rPr>
        <w:t xml:space="preserve">Upon unanimous vote it was </w:t>
      </w:r>
      <w:r>
        <w:rPr>
          <w:rFonts w:ascii="Arial" w:hAnsi="Arial"/>
          <w:b/>
          <w:color w:val="000000" w:themeColor="text1"/>
          <w:sz w:val="18"/>
          <w:szCs w:val="18"/>
        </w:rPr>
        <w:t xml:space="preserve">RESOLVED </w:t>
      </w:r>
      <w:r>
        <w:rPr>
          <w:rFonts w:ascii="Arial" w:hAnsi="Arial"/>
          <w:color w:val="000000" w:themeColor="text1"/>
          <w:sz w:val="18"/>
          <w:szCs w:val="18"/>
        </w:rPr>
        <w:t xml:space="preserve">that the Commission adopt this “Future Process” of an ALJ hearing as an initial decision, subject to the Commission final approval </w:t>
      </w:r>
      <w:r w:rsidR="0007178D">
        <w:rPr>
          <w:rFonts w:ascii="Arial" w:hAnsi="Arial"/>
          <w:color w:val="000000" w:themeColor="text1"/>
          <w:sz w:val="18"/>
          <w:szCs w:val="18"/>
        </w:rPr>
        <w:t xml:space="preserve">for the final decision </w:t>
      </w:r>
      <w:r>
        <w:rPr>
          <w:rFonts w:ascii="Arial" w:hAnsi="Arial"/>
          <w:color w:val="000000" w:themeColor="text1"/>
          <w:sz w:val="18"/>
          <w:szCs w:val="18"/>
        </w:rPr>
        <w:t xml:space="preserve">as the “Future Process”, unless the Commission decide to change at any time, </w:t>
      </w:r>
      <w:r w:rsidRPr="008532AA">
        <w:rPr>
          <w:rFonts w:ascii="Arial" w:hAnsi="Arial"/>
          <w:b/>
          <w:color w:val="000000" w:themeColor="text1"/>
          <w:sz w:val="18"/>
          <w:szCs w:val="18"/>
        </w:rPr>
        <w:t>be adopted</w:t>
      </w:r>
      <w:r>
        <w:rPr>
          <w:rFonts w:ascii="Arial" w:hAnsi="Arial"/>
          <w:color w:val="000000" w:themeColor="text1"/>
          <w:sz w:val="18"/>
          <w:szCs w:val="18"/>
        </w:rPr>
        <w:t>.</w:t>
      </w:r>
    </w:p>
    <w:p w14:paraId="08156FF0" w14:textId="77777777" w:rsidR="008532AA" w:rsidRPr="008532AA" w:rsidRDefault="008532AA" w:rsidP="008532AA">
      <w:pPr>
        <w:rPr>
          <w:rFonts w:ascii="Arial" w:hAnsi="Arial"/>
          <w:color w:val="000000" w:themeColor="text1"/>
          <w:sz w:val="18"/>
          <w:szCs w:val="18"/>
        </w:rPr>
      </w:pPr>
    </w:p>
    <w:p w14:paraId="5ED4EFBA" w14:textId="77777777" w:rsidR="008532AA" w:rsidRPr="008532AA" w:rsidRDefault="008532AA" w:rsidP="001300B0">
      <w:pPr>
        <w:ind w:left="360"/>
        <w:rPr>
          <w:rFonts w:ascii="Arial" w:hAnsi="Arial"/>
          <w:color w:val="000000" w:themeColor="text1"/>
          <w:sz w:val="18"/>
          <w:szCs w:val="18"/>
        </w:rPr>
      </w:pPr>
    </w:p>
    <w:p w14:paraId="1ADD9499" w14:textId="670559C5" w:rsidR="00D80A6E" w:rsidRDefault="008532AA" w:rsidP="00BB5E37">
      <w:pPr>
        <w:pStyle w:val="ListParagraph"/>
        <w:numPr>
          <w:ilvl w:val="0"/>
          <w:numId w:val="2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OTHER </w:t>
      </w:r>
      <w:r w:rsidR="00BB5E37">
        <w:rPr>
          <w:rFonts w:ascii="Arial" w:hAnsi="Arial"/>
          <w:b/>
          <w:sz w:val="22"/>
          <w:szCs w:val="22"/>
        </w:rPr>
        <w:t>BUSINESS</w:t>
      </w:r>
      <w:r>
        <w:rPr>
          <w:rFonts w:ascii="Arial" w:hAnsi="Arial"/>
          <w:b/>
          <w:sz w:val="22"/>
          <w:szCs w:val="22"/>
        </w:rPr>
        <w:t xml:space="preserve"> </w:t>
      </w:r>
    </w:p>
    <w:p w14:paraId="4E3E426F" w14:textId="1E36158F" w:rsidR="00BB5E37" w:rsidRDefault="00BB5E37" w:rsidP="00BB5E37">
      <w:pPr>
        <w:pStyle w:val="ListParagraph"/>
        <w:ind w:left="45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There was none.</w:t>
      </w:r>
    </w:p>
    <w:p w14:paraId="1BE5E3EC" w14:textId="77777777" w:rsidR="00BB5E37" w:rsidRPr="00BB5E37" w:rsidRDefault="00BB5E37" w:rsidP="00BB5E37">
      <w:pPr>
        <w:pStyle w:val="ListParagraph"/>
        <w:ind w:left="450"/>
        <w:rPr>
          <w:rFonts w:ascii="Arial" w:hAnsi="Arial"/>
          <w:b/>
          <w:sz w:val="22"/>
          <w:szCs w:val="22"/>
        </w:rPr>
      </w:pPr>
    </w:p>
    <w:p w14:paraId="54D0D36F" w14:textId="77777777" w:rsidR="00BB5E37" w:rsidRPr="00BB5E37" w:rsidRDefault="00BB5E37" w:rsidP="00BB5E37">
      <w:pPr>
        <w:pStyle w:val="ListParagraph"/>
        <w:numPr>
          <w:ilvl w:val="0"/>
          <w:numId w:val="2"/>
        </w:numPr>
        <w:rPr>
          <w:rFonts w:ascii="Arial" w:hAnsi="Arial"/>
          <w:b/>
          <w:sz w:val="22"/>
          <w:szCs w:val="22"/>
        </w:rPr>
      </w:pPr>
      <w:r w:rsidRPr="00BB5E37">
        <w:rPr>
          <w:rFonts w:ascii="Arial" w:hAnsi="Arial"/>
          <w:b/>
          <w:sz w:val="22"/>
          <w:szCs w:val="22"/>
        </w:rPr>
        <w:t>ADJOURN</w:t>
      </w:r>
    </w:p>
    <w:p w14:paraId="1915E2CC" w14:textId="3171F061" w:rsidR="00D80A6E" w:rsidRPr="006E6450" w:rsidRDefault="008532AA" w:rsidP="00BB5E37">
      <w:pPr>
        <w:ind w:firstLine="450"/>
        <w:rPr>
          <w:rFonts w:ascii="Arial" w:hAnsi="Arial"/>
          <w:color w:val="4472C4" w:themeColor="accent5"/>
          <w:sz w:val="18"/>
          <w:szCs w:val="18"/>
        </w:rPr>
      </w:pPr>
      <w:r>
        <w:rPr>
          <w:rFonts w:ascii="Arial" w:hAnsi="Arial"/>
          <w:sz w:val="18"/>
          <w:szCs w:val="18"/>
        </w:rPr>
        <w:t>Toby Hinton</w:t>
      </w:r>
      <w:r w:rsidR="003A536E" w:rsidRPr="006E6450">
        <w:rPr>
          <w:rFonts w:ascii="Arial" w:hAnsi="Arial"/>
          <w:sz w:val="18"/>
          <w:szCs w:val="18"/>
        </w:rPr>
        <w:t xml:space="preserve"> </w:t>
      </w:r>
      <w:r w:rsidR="00D80A6E" w:rsidRPr="006E6450">
        <w:rPr>
          <w:rFonts w:ascii="Arial" w:hAnsi="Arial"/>
          <w:sz w:val="18"/>
          <w:szCs w:val="18"/>
        </w:rPr>
        <w:t xml:space="preserve">made a motion to adjourn the meeting. </w:t>
      </w:r>
      <w:r w:rsidR="00BB5E37">
        <w:rPr>
          <w:rFonts w:ascii="Arial" w:hAnsi="Arial"/>
          <w:sz w:val="18"/>
          <w:szCs w:val="18"/>
        </w:rPr>
        <w:t>Karen Gilbert</w:t>
      </w:r>
      <w:r w:rsidR="00D80A6E" w:rsidRPr="006E6450">
        <w:rPr>
          <w:rFonts w:ascii="Arial" w:hAnsi="Arial"/>
          <w:sz w:val="18"/>
          <w:szCs w:val="18"/>
        </w:rPr>
        <w:t xml:space="preserve"> seconded the motion.</w:t>
      </w:r>
    </w:p>
    <w:p w14:paraId="18F0CB47" w14:textId="04DD2007" w:rsidR="00667327" w:rsidRPr="00B03BDF" w:rsidRDefault="00081AD2" w:rsidP="005E702A">
      <w:pPr>
        <w:pStyle w:val="ListParagraph"/>
        <w:ind w:left="450"/>
        <w:rPr>
          <w:rFonts w:ascii="Arial" w:hAnsi="Arial"/>
          <w:color w:val="4472C4" w:themeColor="accent5"/>
          <w:sz w:val="22"/>
          <w:szCs w:val="22"/>
        </w:rPr>
      </w:pPr>
      <w:r w:rsidRPr="00B03BDF">
        <w:rPr>
          <w:rFonts w:ascii="Arial" w:hAnsi="Arial"/>
          <w:sz w:val="18"/>
          <w:szCs w:val="18"/>
        </w:rPr>
        <w:tab/>
      </w:r>
    </w:p>
    <w:p w14:paraId="7088BD77" w14:textId="2B028DE1" w:rsidR="00C0292E" w:rsidRPr="0022099F" w:rsidRDefault="008A006F" w:rsidP="00BB5E37">
      <w:pPr>
        <w:ind w:firstLine="450"/>
        <w:rPr>
          <w:rFonts w:ascii="Arial" w:hAnsi="Arial"/>
          <w:b/>
          <w:color w:val="4472C4" w:themeColor="accent5"/>
          <w:sz w:val="22"/>
          <w:szCs w:val="22"/>
        </w:rPr>
      </w:pPr>
      <w:r w:rsidRPr="0022099F">
        <w:rPr>
          <w:rFonts w:ascii="Arial" w:hAnsi="Arial"/>
          <w:sz w:val="18"/>
          <w:szCs w:val="18"/>
        </w:rPr>
        <w:t>There being no further business, the meeting adjourned at 1</w:t>
      </w:r>
      <w:r w:rsidR="00BB5E37">
        <w:rPr>
          <w:rFonts w:ascii="Arial" w:hAnsi="Arial"/>
          <w:sz w:val="18"/>
          <w:szCs w:val="18"/>
        </w:rPr>
        <w:t>0</w:t>
      </w:r>
      <w:r w:rsidRPr="0022099F">
        <w:rPr>
          <w:rFonts w:ascii="Arial" w:hAnsi="Arial"/>
          <w:sz w:val="18"/>
          <w:szCs w:val="18"/>
        </w:rPr>
        <w:t>:</w:t>
      </w:r>
      <w:r w:rsidR="008532AA">
        <w:rPr>
          <w:rFonts w:ascii="Arial" w:hAnsi="Arial"/>
          <w:sz w:val="18"/>
          <w:szCs w:val="18"/>
        </w:rPr>
        <w:t>3</w:t>
      </w:r>
      <w:r w:rsidR="00AF791A">
        <w:rPr>
          <w:rFonts w:ascii="Arial" w:hAnsi="Arial"/>
          <w:sz w:val="18"/>
          <w:szCs w:val="18"/>
        </w:rPr>
        <w:t>5</w:t>
      </w:r>
      <w:r w:rsidRPr="0022099F">
        <w:rPr>
          <w:rFonts w:ascii="Arial" w:hAnsi="Arial"/>
          <w:sz w:val="18"/>
          <w:szCs w:val="18"/>
        </w:rPr>
        <w:t xml:space="preserve"> </w:t>
      </w:r>
      <w:r w:rsidR="003A536E" w:rsidRPr="0022099F">
        <w:rPr>
          <w:rFonts w:ascii="Arial" w:hAnsi="Arial"/>
          <w:sz w:val="18"/>
          <w:szCs w:val="18"/>
        </w:rPr>
        <w:t>a</w:t>
      </w:r>
      <w:r w:rsidRPr="0022099F">
        <w:rPr>
          <w:rFonts w:ascii="Arial" w:hAnsi="Arial"/>
          <w:sz w:val="18"/>
          <w:szCs w:val="18"/>
        </w:rPr>
        <w:t>.m.</w:t>
      </w:r>
      <w:r w:rsidR="00C0292E" w:rsidRPr="0022099F">
        <w:rPr>
          <w:rFonts w:ascii="Arial" w:hAnsi="Arial"/>
          <w:b/>
          <w:color w:val="4472C4" w:themeColor="accent5"/>
          <w:sz w:val="22"/>
          <w:szCs w:val="22"/>
        </w:rPr>
        <w:br/>
      </w:r>
    </w:p>
    <w:p w14:paraId="6E305146" w14:textId="1D37E64E" w:rsidR="00EE639C" w:rsidRDefault="00EE639C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048AF2CA" w14:textId="6190E88D" w:rsidR="006E6450" w:rsidRDefault="006E6450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0F3659C5" w14:textId="331E874D" w:rsidR="006E6450" w:rsidRDefault="006E6450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3539594F" w14:textId="7423F859" w:rsidR="006E6450" w:rsidRDefault="006E6450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22FB6791" w14:textId="21C0FB9F" w:rsidR="006E6450" w:rsidRDefault="006E6450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0381C35B" w14:textId="24301D34" w:rsidR="006E6450" w:rsidRDefault="006E6450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64DD0EA2" w14:textId="0F874647" w:rsidR="006E6450" w:rsidRDefault="006E6450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539FDB12" w14:textId="36A4341B" w:rsidR="006E6450" w:rsidRDefault="006E6450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546FBF3B" w14:textId="5E0828F4" w:rsidR="006E6450" w:rsidRDefault="006E6450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7A17EF68" w14:textId="03484FA9" w:rsidR="006E6450" w:rsidRDefault="006E6450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0824C902" w14:textId="06401791" w:rsidR="006E6450" w:rsidRDefault="006E6450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63D4C4DF" w14:textId="77777777" w:rsidR="006E6450" w:rsidRDefault="006E6450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1FEF96AC" w14:textId="3AC86369" w:rsidR="008A006F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6015"/>
      </w:tblGrid>
      <w:tr w:rsidR="00EE639C" w:rsidRPr="00EE5215" w14:paraId="70A8C3EA" w14:textId="77777777" w:rsidTr="007015ED">
        <w:trPr>
          <w:trHeight w:hRule="exact" w:val="684"/>
        </w:trPr>
        <w:tc>
          <w:tcPr>
            <w:tcW w:w="3080" w:type="dxa"/>
            <w:vAlign w:val="bottom"/>
          </w:tcPr>
          <w:p w14:paraId="4EAAE0F7" w14:textId="77777777" w:rsidR="00EE639C" w:rsidRPr="00EE5215" w:rsidRDefault="00EE639C" w:rsidP="00EE639C">
            <w:pPr>
              <w:ind w:left="-173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 w:rsidRPr="008A006F">
              <w:rPr>
                <w:rFonts w:ascii="Arial" w:hAnsi="Arial"/>
                <w:b/>
                <w:sz w:val="20"/>
                <w:szCs w:val="20"/>
              </w:rPr>
              <w:t>BOARD CHAIR APPROVAL:</w:t>
            </w:r>
            <w:r w:rsidRPr="00EE5215"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br/>
            </w:r>
            <w:r w:rsidRPr="00EE5215">
              <w:rPr>
                <w:rFonts w:ascii="Arial" w:hAnsi="Arial"/>
                <w:i/>
                <w:color w:val="000000" w:themeColor="text1"/>
                <w:sz w:val="16"/>
                <w:szCs w:val="16"/>
              </w:rPr>
              <w:t>(Signature &amp; Date)</w:t>
            </w:r>
          </w:p>
        </w:tc>
        <w:tc>
          <w:tcPr>
            <w:tcW w:w="6015" w:type="dxa"/>
            <w:tcBorders>
              <w:bottom w:val="single" w:sz="4" w:space="0" w:color="auto"/>
            </w:tcBorders>
            <w:vAlign w:val="bottom"/>
          </w:tcPr>
          <w:p w14:paraId="0C854B5C" w14:textId="77777777" w:rsidR="00EE639C" w:rsidRPr="00EE5215" w:rsidRDefault="00EE639C" w:rsidP="0090548A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EE639C" w:rsidRPr="00EE5215" w14:paraId="63BEFCA8" w14:textId="77777777" w:rsidTr="007015ED">
        <w:trPr>
          <w:trHeight w:hRule="exact" w:val="712"/>
        </w:trPr>
        <w:tc>
          <w:tcPr>
            <w:tcW w:w="3080" w:type="dxa"/>
            <w:vAlign w:val="bottom"/>
          </w:tcPr>
          <w:p w14:paraId="1570CA64" w14:textId="1DD19D2E" w:rsidR="00EE639C" w:rsidRPr="00EE5215" w:rsidRDefault="00EE639C" w:rsidP="008A006F">
            <w:pPr>
              <w:ind w:left="-173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 w:rsidRPr="008A006F">
              <w:rPr>
                <w:rFonts w:ascii="Arial" w:hAnsi="Arial"/>
                <w:b/>
                <w:sz w:val="20"/>
                <w:szCs w:val="20"/>
              </w:rPr>
              <w:t xml:space="preserve">BOARD </w:t>
            </w:r>
            <w:r w:rsidR="008A006F" w:rsidRPr="008A006F">
              <w:rPr>
                <w:rFonts w:ascii="Arial" w:hAnsi="Arial"/>
                <w:b/>
                <w:sz w:val="20"/>
                <w:szCs w:val="20"/>
              </w:rPr>
              <w:t>SECRETARY</w:t>
            </w:r>
            <w:r w:rsidRPr="008A006F">
              <w:rPr>
                <w:rFonts w:ascii="Arial" w:hAnsi="Arial"/>
                <w:b/>
                <w:sz w:val="20"/>
                <w:szCs w:val="20"/>
              </w:rPr>
              <w:t xml:space="preserve"> APPROVAL:</w:t>
            </w:r>
            <w:r w:rsidRPr="00EE5215"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br/>
            </w:r>
            <w:r w:rsidRPr="00EE5215">
              <w:rPr>
                <w:rFonts w:ascii="Arial" w:hAnsi="Arial"/>
                <w:i/>
                <w:color w:val="000000" w:themeColor="text1"/>
                <w:sz w:val="16"/>
                <w:szCs w:val="16"/>
              </w:rPr>
              <w:t>(Signature &amp; Date)</w:t>
            </w:r>
          </w:p>
        </w:tc>
        <w:tc>
          <w:tcPr>
            <w:tcW w:w="60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1124D6" w14:textId="77777777" w:rsidR="00EE639C" w:rsidRPr="00EE5215" w:rsidRDefault="00EE639C" w:rsidP="0090548A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</w:tbl>
    <w:p w14:paraId="30EFADD8" w14:textId="69FE1672" w:rsidR="00EE639C" w:rsidRPr="00EE5215" w:rsidRDefault="00EE639C" w:rsidP="007015ED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</w:rPr>
      </w:pPr>
    </w:p>
    <w:sectPr w:rsidR="00EE639C" w:rsidRPr="00EE5215" w:rsidSect="00A84D5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Microsoft Sans Serif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920DF"/>
    <w:multiLevelType w:val="hybridMultilevel"/>
    <w:tmpl w:val="D1BEEFC4"/>
    <w:lvl w:ilvl="0" w:tplc="F9D8830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E739A"/>
    <w:multiLevelType w:val="hybridMultilevel"/>
    <w:tmpl w:val="3A4E5076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089C6B12"/>
    <w:multiLevelType w:val="hybridMultilevel"/>
    <w:tmpl w:val="E50CBA20"/>
    <w:lvl w:ilvl="0" w:tplc="458A0B1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6C492F"/>
    <w:multiLevelType w:val="hybridMultilevel"/>
    <w:tmpl w:val="9B92B3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5906CED"/>
    <w:multiLevelType w:val="hybridMultilevel"/>
    <w:tmpl w:val="FAB6B5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5B705DB"/>
    <w:multiLevelType w:val="hybridMultilevel"/>
    <w:tmpl w:val="8AE61CE8"/>
    <w:lvl w:ilvl="0" w:tplc="7108C5EE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29F60C6E"/>
    <w:multiLevelType w:val="hybridMultilevel"/>
    <w:tmpl w:val="79949484"/>
    <w:lvl w:ilvl="0" w:tplc="956E43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BB6527"/>
    <w:multiLevelType w:val="hybridMultilevel"/>
    <w:tmpl w:val="3C0AC3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31FB5"/>
    <w:multiLevelType w:val="hybridMultilevel"/>
    <w:tmpl w:val="DFA43758"/>
    <w:lvl w:ilvl="0" w:tplc="CABE67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D0D064E"/>
    <w:multiLevelType w:val="hybridMultilevel"/>
    <w:tmpl w:val="1D909018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0" w15:restartNumberingAfterBreak="0">
    <w:nsid w:val="2D543B73"/>
    <w:multiLevelType w:val="hybridMultilevel"/>
    <w:tmpl w:val="B3323CCE"/>
    <w:lvl w:ilvl="0" w:tplc="3CCA731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53896"/>
    <w:multiLevelType w:val="hybridMultilevel"/>
    <w:tmpl w:val="45D445F6"/>
    <w:lvl w:ilvl="0" w:tplc="956E43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792F04"/>
    <w:multiLevelType w:val="hybridMultilevel"/>
    <w:tmpl w:val="A17CAC2C"/>
    <w:lvl w:ilvl="0" w:tplc="5BAC337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3E87DF3"/>
    <w:multiLevelType w:val="hybridMultilevel"/>
    <w:tmpl w:val="6E9273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5C4C16"/>
    <w:multiLevelType w:val="hybridMultilevel"/>
    <w:tmpl w:val="67301C8E"/>
    <w:lvl w:ilvl="0" w:tplc="956E43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390CB4"/>
    <w:multiLevelType w:val="hybridMultilevel"/>
    <w:tmpl w:val="286614CE"/>
    <w:lvl w:ilvl="0" w:tplc="956E43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246AD3"/>
    <w:multiLevelType w:val="hybridMultilevel"/>
    <w:tmpl w:val="A0C2B546"/>
    <w:lvl w:ilvl="0" w:tplc="5308B1E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D1C26C2"/>
    <w:multiLevelType w:val="hybridMultilevel"/>
    <w:tmpl w:val="548023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E5D40CB"/>
    <w:multiLevelType w:val="hybridMultilevel"/>
    <w:tmpl w:val="BBC889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3641CB7"/>
    <w:multiLevelType w:val="hybridMultilevel"/>
    <w:tmpl w:val="833AAC08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0" w15:restartNumberingAfterBreak="0">
    <w:nsid w:val="48120E57"/>
    <w:multiLevelType w:val="hybridMultilevel"/>
    <w:tmpl w:val="E3249DFE"/>
    <w:lvl w:ilvl="0" w:tplc="8B9EA36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theme="minorBidi"/>
        <w:color w:val="000000" w:themeColor="text1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90F3A"/>
    <w:multiLevelType w:val="hybridMultilevel"/>
    <w:tmpl w:val="A230B5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575CA9"/>
    <w:multiLevelType w:val="hybridMultilevel"/>
    <w:tmpl w:val="32E49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C76E9"/>
    <w:multiLevelType w:val="hybridMultilevel"/>
    <w:tmpl w:val="8FECE63E"/>
    <w:lvl w:ilvl="0" w:tplc="28AA621E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 w:themeColor="text1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026231"/>
    <w:multiLevelType w:val="hybridMultilevel"/>
    <w:tmpl w:val="9738E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CF47EF"/>
    <w:multiLevelType w:val="hybridMultilevel"/>
    <w:tmpl w:val="C4907710"/>
    <w:lvl w:ilvl="0" w:tplc="956E43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1B42FC"/>
    <w:multiLevelType w:val="hybridMultilevel"/>
    <w:tmpl w:val="F6281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D7455FE"/>
    <w:multiLevelType w:val="hybridMultilevel"/>
    <w:tmpl w:val="CB46C50E"/>
    <w:lvl w:ilvl="0" w:tplc="529EDBF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22781"/>
    <w:multiLevelType w:val="hybridMultilevel"/>
    <w:tmpl w:val="926A4E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607669"/>
    <w:multiLevelType w:val="hybridMultilevel"/>
    <w:tmpl w:val="DC94B99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 w15:restartNumberingAfterBreak="0">
    <w:nsid w:val="7A421074"/>
    <w:multiLevelType w:val="hybridMultilevel"/>
    <w:tmpl w:val="602E232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 w15:restartNumberingAfterBreak="0">
    <w:nsid w:val="7AE85AAA"/>
    <w:multiLevelType w:val="hybridMultilevel"/>
    <w:tmpl w:val="0596B4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C452747"/>
    <w:multiLevelType w:val="hybridMultilevel"/>
    <w:tmpl w:val="F67A6D9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1"/>
  </w:num>
  <w:num w:numId="2">
    <w:abstractNumId w:val="10"/>
  </w:num>
  <w:num w:numId="3">
    <w:abstractNumId w:val="5"/>
  </w:num>
  <w:num w:numId="4">
    <w:abstractNumId w:val="30"/>
  </w:num>
  <w:num w:numId="5">
    <w:abstractNumId w:val="31"/>
  </w:num>
  <w:num w:numId="6">
    <w:abstractNumId w:val="9"/>
  </w:num>
  <w:num w:numId="7">
    <w:abstractNumId w:val="1"/>
  </w:num>
  <w:num w:numId="8">
    <w:abstractNumId w:val="33"/>
  </w:num>
  <w:num w:numId="9">
    <w:abstractNumId w:val="19"/>
  </w:num>
  <w:num w:numId="10">
    <w:abstractNumId w:val="27"/>
  </w:num>
  <w:num w:numId="11">
    <w:abstractNumId w:val="32"/>
  </w:num>
  <w:num w:numId="12">
    <w:abstractNumId w:val="29"/>
  </w:num>
  <w:num w:numId="13">
    <w:abstractNumId w:val="18"/>
  </w:num>
  <w:num w:numId="14">
    <w:abstractNumId w:val="6"/>
  </w:num>
  <w:num w:numId="15">
    <w:abstractNumId w:val="28"/>
  </w:num>
  <w:num w:numId="16">
    <w:abstractNumId w:val="24"/>
  </w:num>
  <w:num w:numId="17">
    <w:abstractNumId w:val="20"/>
  </w:num>
  <w:num w:numId="18">
    <w:abstractNumId w:val="26"/>
  </w:num>
  <w:num w:numId="19">
    <w:abstractNumId w:val="14"/>
  </w:num>
  <w:num w:numId="20">
    <w:abstractNumId w:val="15"/>
  </w:num>
  <w:num w:numId="21">
    <w:abstractNumId w:val="3"/>
  </w:num>
  <w:num w:numId="22">
    <w:abstractNumId w:val="22"/>
  </w:num>
  <w:num w:numId="23">
    <w:abstractNumId w:val="25"/>
  </w:num>
  <w:num w:numId="24">
    <w:abstractNumId w:val="0"/>
  </w:num>
  <w:num w:numId="25">
    <w:abstractNumId w:val="12"/>
  </w:num>
  <w:num w:numId="26">
    <w:abstractNumId w:val="8"/>
  </w:num>
  <w:num w:numId="27">
    <w:abstractNumId w:val="16"/>
  </w:num>
  <w:num w:numId="28">
    <w:abstractNumId w:val="2"/>
  </w:num>
  <w:num w:numId="29">
    <w:abstractNumId w:val="11"/>
  </w:num>
  <w:num w:numId="30">
    <w:abstractNumId w:val="7"/>
  </w:num>
  <w:num w:numId="31">
    <w:abstractNumId w:val="4"/>
  </w:num>
  <w:num w:numId="32">
    <w:abstractNumId w:val="13"/>
  </w:num>
  <w:num w:numId="33">
    <w:abstractNumId w:val="17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7AB"/>
    <w:rsid w:val="00012DDB"/>
    <w:rsid w:val="0001338A"/>
    <w:rsid w:val="0007178D"/>
    <w:rsid w:val="00081AD2"/>
    <w:rsid w:val="000861C4"/>
    <w:rsid w:val="000C16B8"/>
    <w:rsid w:val="000C7468"/>
    <w:rsid w:val="000E4C6F"/>
    <w:rsid w:val="001300B0"/>
    <w:rsid w:val="0014247E"/>
    <w:rsid w:val="0016079D"/>
    <w:rsid w:val="00192C40"/>
    <w:rsid w:val="001C28C5"/>
    <w:rsid w:val="001E41CD"/>
    <w:rsid w:val="001E5310"/>
    <w:rsid w:val="001F076D"/>
    <w:rsid w:val="001F6899"/>
    <w:rsid w:val="002049D0"/>
    <w:rsid w:val="00212482"/>
    <w:rsid w:val="0022099F"/>
    <w:rsid w:val="002509CF"/>
    <w:rsid w:val="002769F9"/>
    <w:rsid w:val="002A6C4C"/>
    <w:rsid w:val="002E1FD1"/>
    <w:rsid w:val="002E57AB"/>
    <w:rsid w:val="003003C9"/>
    <w:rsid w:val="00325599"/>
    <w:rsid w:val="00325D1B"/>
    <w:rsid w:val="00340253"/>
    <w:rsid w:val="003720E0"/>
    <w:rsid w:val="003A536E"/>
    <w:rsid w:val="003B2AB6"/>
    <w:rsid w:val="003B7F78"/>
    <w:rsid w:val="003D029E"/>
    <w:rsid w:val="003D1EF7"/>
    <w:rsid w:val="003E3440"/>
    <w:rsid w:val="0042388E"/>
    <w:rsid w:val="00426E3E"/>
    <w:rsid w:val="00430053"/>
    <w:rsid w:val="00433476"/>
    <w:rsid w:val="0044171B"/>
    <w:rsid w:val="00457DF4"/>
    <w:rsid w:val="00471C74"/>
    <w:rsid w:val="00490DFA"/>
    <w:rsid w:val="004937B7"/>
    <w:rsid w:val="004B3DF0"/>
    <w:rsid w:val="00521770"/>
    <w:rsid w:val="005244C8"/>
    <w:rsid w:val="005300E4"/>
    <w:rsid w:val="0054551F"/>
    <w:rsid w:val="0055233D"/>
    <w:rsid w:val="00581F85"/>
    <w:rsid w:val="005843C5"/>
    <w:rsid w:val="005C4F35"/>
    <w:rsid w:val="005D710C"/>
    <w:rsid w:val="005E702A"/>
    <w:rsid w:val="005F3074"/>
    <w:rsid w:val="006135C1"/>
    <w:rsid w:val="00617CCB"/>
    <w:rsid w:val="00623A7F"/>
    <w:rsid w:val="006317B6"/>
    <w:rsid w:val="00652BCB"/>
    <w:rsid w:val="00667327"/>
    <w:rsid w:val="0068223C"/>
    <w:rsid w:val="00690C89"/>
    <w:rsid w:val="00691D39"/>
    <w:rsid w:val="006963F4"/>
    <w:rsid w:val="006A784A"/>
    <w:rsid w:val="006C1D4B"/>
    <w:rsid w:val="006C47AB"/>
    <w:rsid w:val="006C5E3F"/>
    <w:rsid w:val="006E6450"/>
    <w:rsid w:val="007015ED"/>
    <w:rsid w:val="00711491"/>
    <w:rsid w:val="00726C63"/>
    <w:rsid w:val="00727646"/>
    <w:rsid w:val="00732BF7"/>
    <w:rsid w:val="00736036"/>
    <w:rsid w:val="00747A5C"/>
    <w:rsid w:val="007B0FD1"/>
    <w:rsid w:val="00803EB9"/>
    <w:rsid w:val="008047D5"/>
    <w:rsid w:val="00826FDB"/>
    <w:rsid w:val="008368FC"/>
    <w:rsid w:val="0083722A"/>
    <w:rsid w:val="00850C7D"/>
    <w:rsid w:val="008532AA"/>
    <w:rsid w:val="00857FCB"/>
    <w:rsid w:val="0088535E"/>
    <w:rsid w:val="00893616"/>
    <w:rsid w:val="008A006F"/>
    <w:rsid w:val="008F6628"/>
    <w:rsid w:val="0090548A"/>
    <w:rsid w:val="009122C2"/>
    <w:rsid w:val="009525CA"/>
    <w:rsid w:val="0098331E"/>
    <w:rsid w:val="009B48C7"/>
    <w:rsid w:val="009F5F1D"/>
    <w:rsid w:val="00A01B08"/>
    <w:rsid w:val="00A01C77"/>
    <w:rsid w:val="00A4312C"/>
    <w:rsid w:val="00A74450"/>
    <w:rsid w:val="00A817A0"/>
    <w:rsid w:val="00A84D5B"/>
    <w:rsid w:val="00AF36CA"/>
    <w:rsid w:val="00AF791A"/>
    <w:rsid w:val="00B00EB2"/>
    <w:rsid w:val="00B03BDF"/>
    <w:rsid w:val="00B3778E"/>
    <w:rsid w:val="00B51073"/>
    <w:rsid w:val="00B82144"/>
    <w:rsid w:val="00B9421B"/>
    <w:rsid w:val="00BA0ED7"/>
    <w:rsid w:val="00BB5E37"/>
    <w:rsid w:val="00BB6B68"/>
    <w:rsid w:val="00BC5111"/>
    <w:rsid w:val="00BE7C5B"/>
    <w:rsid w:val="00C0292E"/>
    <w:rsid w:val="00C11B94"/>
    <w:rsid w:val="00C16EE4"/>
    <w:rsid w:val="00C2235F"/>
    <w:rsid w:val="00C3619F"/>
    <w:rsid w:val="00C45029"/>
    <w:rsid w:val="00C50443"/>
    <w:rsid w:val="00C62DDF"/>
    <w:rsid w:val="00CA65E6"/>
    <w:rsid w:val="00CA69B6"/>
    <w:rsid w:val="00CF2D16"/>
    <w:rsid w:val="00D00ABB"/>
    <w:rsid w:val="00D16B53"/>
    <w:rsid w:val="00D21A81"/>
    <w:rsid w:val="00D466C8"/>
    <w:rsid w:val="00D54689"/>
    <w:rsid w:val="00D5724E"/>
    <w:rsid w:val="00D80A6E"/>
    <w:rsid w:val="00D912A3"/>
    <w:rsid w:val="00D930E4"/>
    <w:rsid w:val="00D97699"/>
    <w:rsid w:val="00DB0923"/>
    <w:rsid w:val="00DE2A6F"/>
    <w:rsid w:val="00DF0178"/>
    <w:rsid w:val="00E04620"/>
    <w:rsid w:val="00E062AC"/>
    <w:rsid w:val="00E124F8"/>
    <w:rsid w:val="00E17E50"/>
    <w:rsid w:val="00E21B81"/>
    <w:rsid w:val="00E31148"/>
    <w:rsid w:val="00E35F30"/>
    <w:rsid w:val="00E47D22"/>
    <w:rsid w:val="00E50274"/>
    <w:rsid w:val="00E51A02"/>
    <w:rsid w:val="00E53CC3"/>
    <w:rsid w:val="00E568F6"/>
    <w:rsid w:val="00E76BE3"/>
    <w:rsid w:val="00E812F5"/>
    <w:rsid w:val="00E95A24"/>
    <w:rsid w:val="00EA2565"/>
    <w:rsid w:val="00EB011C"/>
    <w:rsid w:val="00ED526F"/>
    <w:rsid w:val="00EE5215"/>
    <w:rsid w:val="00EE639C"/>
    <w:rsid w:val="00EF5FBA"/>
    <w:rsid w:val="00F05D5C"/>
    <w:rsid w:val="00F11E40"/>
    <w:rsid w:val="00F3249E"/>
    <w:rsid w:val="00F50032"/>
    <w:rsid w:val="00F51501"/>
    <w:rsid w:val="00FC56DC"/>
    <w:rsid w:val="00FD3BE7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E317E8"/>
  <w15:docId w15:val="{9B43F4CB-78C1-43C7-872B-EA66E22E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12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2F5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93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30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0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0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Board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15A9202-C5CD-4082-AF3F-9D9E228DA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Temp_MeetingMinutesBoard-2</Template>
  <TotalTime>16</TotalTime>
  <Pages>3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Kirk Shook</cp:lastModifiedBy>
  <cp:revision>8</cp:revision>
  <cp:lastPrinted>2018-07-18T20:30:00Z</cp:lastPrinted>
  <dcterms:created xsi:type="dcterms:W3CDTF">2019-04-04T13:22:00Z</dcterms:created>
  <dcterms:modified xsi:type="dcterms:W3CDTF">2019-04-05T12:53:00Z</dcterms:modified>
</cp:coreProperties>
</file>